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KC24.020349 vom 5. November 2024</w:t>
      </w:r>
    </w:p>
    <w:p>
      <w:r>
        <w:t>VD Tribunal cantonal, 2024-11-05, FR</w:t>
      </w:r>
    </w:p>
    <w:p>
      <w:r>
        <w:rPr>
          <w:b/>
        </w:rPr>
        <w:t xml:space="preserve">Quelle: </w:t>
      </w:r>
      <w:r>
        <w:t>https://mcp.opencaselaw.ch/entscheid/vd_gerichte_KC24.020349</w:t>
      </w:r>
    </w:p>
    <w:p>
      <w:r>
        <w:t>FR: VD_GERICHTE KC24.020349 du 5 novembre 2024</w:t>
      </w:r>
    </w:p>
    <w:p>
      <w:r>
        <w:t>IT: VD_GERICHTE KC24.020349 del 5 novembre 2024</w:t>
      </w:r>
    </w:p>
    <w:p>
      <w:pPr>
        <w:pStyle w:val="Heading2"/>
      </w:pPr>
      <w:r>
        <w:t>Volltext</w:t>
      </w:r>
    </w:p>
    <w:p>
      <w:r>
        <w:t>TRIBUNAL CANTONAL KC24.020349-241193 193 CO UR DE S P OURSUITES ET FAILL ITES ________________________________________________ Arrêt du 5 novembre 2024 __________________ Composition :M. HACK, président M. Maillard et Mme Cherpillod, juges Greffier : Mme Joye ***** Art. 321 al. 1 CPC Vu le prononcé rendu sous forme de dispositif le 4 juillet 2024 par lequel la Juge de paix du district de Lavaux-Oron a prononcé, à concurrence de 35'697 fr. 20 avec intérêt à 5 % l’an dès le 12 août 2023, la mainlevée provisoire de l’opposition formée par D.________ (poursuivie), à Puidoux, au commandement de payer n° 11'235’160 de l’Office des poursuites du même district, notifié à la réqui-sition d’A.________(poursuivante), à Chavornay (I), a arrêté à 360 fr. les frais judiciaires (II), les a mis à la charge de la poursuivie (III) et a dit que celle- 111</w:t>
      </w:r>
    </w:p>
    <w:p>
      <w:r>
        <w:t>- 2 - ci devait rembourser à la poursuivante son avance de frais, à concurrence de 360 fr., sans allocation de dépens pour le surplus (IV), vu le prononcé motivé adressé aux parties le 23 août 2024 et notifié à la poursuivie le 29 août 2024, vu l’acte de recours déposé par D.________ le 6 septembre 2024,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w:t>
      </w:r>
    </w:p>
    <w:p>
      <w:r>
        <w:t>- 3 -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outre, le recours doit contenir des conclusions chiffrées, s'agis-sant de conclusions pécuniaires,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qu’il s’ensuit qu’en matière pécuniaire, les conclusions du recours doivent être chiffrées (CPF 22 février 2021/17 ; CREC 2 juin 2014/190 ; CREC 11 juillet 2014/238), qu’en l’espèce, la recourante fait valoir que, contrairement à ce qui a été retenu par la première juge, le signataire de la reconnaissance de dette invoquée à l’appui de la requête de mainlevée - [...] - ne serait pas administrateur de D.________ et demande que « compte tenu de cette inexactitude » la décision rendue soit « réexaminée », que ce faisant, la recourante ne formule aucune conclusion, c’est-à-dire n’indique pas quelle conséquence sur le prononcé le grief qu’elle émet devrait avoir, que force est de constater que la motivation du recours ne satisfait pas aux exigences de l’art. 321 al. 1 CPC et de la jurisprudence susmentionnée,</w:t>
      </w:r>
    </w:p>
    <w:p>
      <w:r>
        <w:t>- 4 - que le recours doit dès lors être déclaré irrecevable pour défaut de conclusions chiffrées, que l’on peut en outre relever que la recourante n’a pas contesté l’exis-tence de pouvoirs de représentation en première instance, où elle n’a du reste pas procédé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D.________, - A.________.</w:t>
      </w:r>
    </w:p>
    <w:p>
      <w:r>
        <w:t>- 5 - La Cour des poursuites et faillites ne peut pas déterminer la valeur litigieuse, vu l’absence de conclusions chiffrées.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