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KC24.019093 vom 20. Februar 2025</w:t>
      </w:r>
    </w:p>
    <w:p>
      <w:r>
        <w:t>VD Tribunal cantonal, 2025-02-20, FR</w:t>
      </w:r>
    </w:p>
    <w:p>
      <w:r>
        <w:rPr>
          <w:b/>
        </w:rPr>
        <w:t xml:space="preserve">Quelle: </w:t>
      </w:r>
      <w:r>
        <w:t>https://mcp.opencaselaw.ch/entscheid/vd_gerichte_KC24.019093</w:t>
      </w:r>
    </w:p>
    <w:p>
      <w:r>
        <w:t>FR: VD_GERICHTE KC24.019093 du 20 février 2025</w:t>
      </w:r>
    </w:p>
    <w:p>
      <w:r>
        <w:t>IT: VD_GERICHTE KC24.019093 del 20 febbraio 2025</w:t>
      </w:r>
    </w:p>
    <w:p>
      <w:pPr>
        <w:pStyle w:val="Heading2"/>
      </w:pPr>
      <w:r>
        <w:t>Volltext</w:t>
      </w:r>
    </w:p>
    <w:p>
      <w:r>
        <w:t>TRIBUNAL CANTONAL KC24.019093-250038 3 CO UR DE S P OURSUITES ET FAILL ITES ________________________________________________ Arrêt du 20 février 2025 ___________________ Composition :M. HACK, président Mmes Byrde et Giroud Walther, juges Greffier : M. Elsig ***** Art. 138 al. 3 let. a, 239 al. 2, 321 al. 1 et 2 CPC Vu le prononcé non motivé rendu le 12 juin 2024, à la suite de l’audience tenue contradictoirement le même jour, par le Juge de paix du district de Lausanne prononçant la mainlevée provisoire de l’opposition formée par V.________ SÀRL, à [...], au commandement de payer la somme de 49'898 fr. 68 avec intérêt à 5 % l’an dès le 15 novembre 2021 dans la poursuite n° 11'235'607 de l’Office des poursuites du district de Lausanne intentée à par K.________, à [...], arrêtant les frais judiciaires à 360 fr., les mettant à la charge de la poursuivie, et disant qu’en conséquence, celle-ci rembourserait à la poursuivante son avance de frais, par 360 fr., et lui verserait des dépens de première instance fixés à 1'500 fr., 111</w:t>
      </w:r>
    </w:p>
    <w:p>
      <w:r>
        <w:t>- 2 - vu le relevé de la poste dont il ressort que le pli contenant ce prononcé destiné à la poursuivie a été avisé pour retrait le 29 juin 2024 et a été retourné au greffe de la justice de paix avec la mention « non réclamé », vu le pli contenant le prononcé susmentionné adressé en courrier A le 12 juillet 2024 par le greffe de la justice de paix à la poursuivie, précisant que cet envoi ne faisait pas courir un nouveau délai de recours, vu les « Appels », datés du 19 juillet 2024 et remis à la poste respectivement les 4 et 5 août 2024, interjetés contre le prononcé susmentionné, vu les motifs du prononcé adressés aux parties le 12 décembre 2024, vu les autres pièces du dossier ; attendu que le recours l’art.. 319 let a CPC (Code de procédure civile du 19 décembre 2008 ; RS 272) est ouvert contre les prononcés rendu en procédure sommaire en matière mainlevée d’opposition (art. 251 let. a et 309 let. b ch. 3 CPC), qu’en principe, ce recours doit s’exercer dans les dix jours dès la notification de la motivation du prononcé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(CPF 2 mai 2023/43),</w:t>
      </w:r>
    </w:p>
    <w:p>
      <w:r>
        <w:t>- 3 -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qu’en l’espèce, la recourante a assisté à l’audience du 12 juin 2024, qu’elle devait donc s’attendre à recevoir la notification du prononcé attaqué, que la règle de l’art. 138 al. 3 let. a CPC s’applique donc, qu’en conséquence, le prononcé du 12 juin 2024 et réputé avoir été notifié à l’échéance du délai de sept jours dès l’avis de retrait du 29 juin 2024, soit le 6 juillet 2024, que le délai de demande de motivation arrivait donc à échéance le 16 juillet 2024, que les « Appels », datés du 19 juillet 2024 et remis à la poste respectivement les 4 et 5 août 2024, actes déterminants pour le respect du délai (art. 143 al. 1 CPC), sont ainsi tardifs,</w:t>
      </w:r>
    </w:p>
    <w:p>
      <w:r>
        <w:t>- 4 - que l’envoi du prononcé le 12 juillet 2024 en courrier A n’a, comme indiqué dans celui-ci, pas fait partir un nouveau délai de motivation, que le recours est ainsi irrecevable ; attendu qu’au demeurant, la motivation du recours est une condition de recevabilité prévue par la loi et qui doit être examinée d'office (art. 321 al.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 que la recourante requiert la communication par courriel de la législation appliquée, se demande si la poursuivante a produit d’autres documents après l’audience, et conteste avoir contracté un second prêt, qu’elle n’a pas déposé d’acte de recours contre le prononcé motivé, qui est réputé lui avoir été notifié le 20 décembre 2024, et qui a été retourné au greffe faute d’avoir été réclamé par son destinataire,</w:t>
      </w:r>
    </w:p>
    <w:p>
      <w:r>
        <w:t>- 5 - qu’à supposer déposées en temps utile, les écritures du 19 juillet 2024 ne satisferaient donc pas aux exigences de motivation de l’art. 321 al. 1 CPC et de la jurisprudence susmentionnée, qu’elles seraient donc également irrecevables pour motivation insuffisante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V.________ Sàrl, - Me Vincent Zen-Ruffinen.</w:t>
      </w:r>
    </w:p>
    <w:p>
      <w:r>
        <w:t>- 6 - La Cour des poursuites et faillites considère que la valeur litigieuse est de 49'898 fr. 68.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