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KC24.009778 vom 30. August 2024</w:t>
      </w:r>
    </w:p>
    <w:p>
      <w:r>
        <w:t>VD Tribunal cantonal, 2024-08-30, FR</w:t>
      </w:r>
    </w:p>
    <w:p>
      <w:r>
        <w:rPr>
          <w:b/>
        </w:rPr>
        <w:t xml:space="preserve">Quelle: </w:t>
      </w:r>
      <w:r>
        <w:t>https://mcp.opencaselaw.ch/entscheid/vd_gerichte_KC24.009778</w:t>
      </w:r>
    </w:p>
    <w:p>
      <w:r>
        <w:t>FR: VD_GERICHTE KC24.009778 du 30 août 2024</w:t>
      </w:r>
    </w:p>
    <w:p>
      <w:r>
        <w:t>IT: VD_GERICHTE KC24.009778 del 30 agosto 2024</w:t>
      </w:r>
    </w:p>
    <w:p>
      <w:pPr>
        <w:pStyle w:val="Heading2"/>
      </w:pPr>
      <w:r>
        <w:t>Erwägungen</w:t>
      </w:r>
    </w:p>
    <w:p>
      <w:r>
        <w:rPr>
          <w:b/>
        </w:rPr>
        <w:t>E. 2</w:t>
      </w:r>
    </w:p>
    <w:p>
      <w:r>
        <w:t>La recourante fait valoir que l’intimée a signé des contrats de locations de service, ceux-ci comportant son timbre humide.</w:t>
      </w:r>
    </w:p>
    <w:p>
      <w:r>
        <w:rPr>
          <w:b/>
        </w:rPr>
        <w:t>E. 2.1.1</w:t>
      </w:r>
    </w:p>
    <w:p>
      <w:r>
        <w:t>Selon l'art. 82 LP (loi fédérale du 11 avril 1889 sur la poursuite pour dettes et la faillite ; RS 281.1), le créancier dont la poursuite se fonde sur une reconnaissance de dette constatée par acte authentique ou sous seing privé peut requérir la mainlevée provisoire (al. 1); le juge la</w:t>
      </w:r>
    </w:p>
    <w:p>
      <w:r>
        <w:t>- 7 -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142 III 720 consid. 4.1).</w:t>
      </w:r>
    </w:p>
    <w:p>
      <w:r>
        <w:rPr>
          <w:b/>
        </w:rPr>
        <w:t>E. 2.1.2</w:t>
      </w:r>
    </w:p>
    <w:p>
      <w:r>
        <w:t>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w:t>
      </w:r>
    </w:p>
    <w:p>
      <w:r>
        <w:rPr>
          <w:b/>
        </w:rPr>
        <w:t>E. 2.1.3</w:t>
      </w:r>
    </w:p>
    <w:p>
      <w:r>
        <w:t>Selon le système des art. 32 ss CO (Code des obligations du 30 mars 1911 ; RS 220), lorsque le représentant qui conclut le contrat manifeste agir au nom du représenté, le représenté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comportement du représenté dans leurs rapports externes (procuration apparente ; art. 33 al. 3 CO) ; et (3) en l'absence de pouvoirs internes conférés au représentant par le représenté, lorsque celui-ci a ratifié le contrat (art. 38 al. 1 CO) (ATF 146 III 37 consid. 7.1 ; ATF 131 III 511 consid. 3.1; TF 4A_341/2021 du 15 décembre 2021 consid. 4.1.2). Ces</w:t>
      </w:r>
    </w:p>
    <w:p>
      <w:r>
        <w:t>- 8 - règles sont aussi applicables lorsque le représenté est une société anonyme (ATF 146 III 37 consid. 5.3 et 7). La doctrine a relevé que la combinaison de l’acte au nom d’autrui selon le principe de la confiance et des règles sur la procuration externe apparente révèle un conflit de protection entre les intérêts du tiers qui pensait de bonne foi être lié à celui qui conteste le rapport de représentation (pseudo représenté) et ce dernier qui choisit expressément de ne pas conférer des pouvoirs de représentation à celui qui prétend agir en son nom (Zufferey, La représentation indirecte, thèse Fribourg 2018, n° 305, p. 131). Le droit suisse tranche ce conflit à l’avantage du pseudo représenté, qui peut se contenter de démontrer l’absence d’une procuration externe apparente, alors que le tiers doit établir l’acte au nom d’autrui et les pouvoirs de représentation (Zufferey, op. cit., nos 306 et 307, p. 131). Comme exemple de manifestation d’acte pour autrui, Zufferey mentionne le travailleur qui conclut un contrat au nom de son employeur en apposant sa signature à côté du timbre humide de l’entreprise (Zufferey, op. cit., n° 354 p. 149). Toutefois, l’arrêt auquel ce passage renvoie mentionne que le représentant sans pouvoirs était le véritable maître de la société, dont il était l’actionnaire unique, et qu’il exerçait effectivement tous les pouvoirs ; l’administrateur unique de la société avec signature individuelle ne s’occupait que de la comptabilité et avait voulu que le représentant sans pouvoirs s’arroge tous les pouvoirs, y compris de signer des effets de change (ATF 96 II 436 consid. 2, rés. in JdT 1971 I 376). La jurisprudence plus récente a confirmé ce point de vue en relevant qu’en vertu du principe de la confiance, une personne représentée sans sa volonté doit être considérée comme obligée à l'égard d'un tiers si elle s'est comportée de manière telle que celui-ci pouvait en déduire de bonne foi l'existence d'un rapport (pouvoir) de représentation et qu'il s'est fié à cette apparence (ATF 120 II 197 consid. 2a). Pareille possibilité suppose que le représentant agisse vis-à-vis du tiers au nom</w:t>
      </w:r>
    </w:p>
    <w:p>
      <w:r>
        <w:t>- 9 - d'une autre personne et que l'attitude du représenté puisse être objectivement comprise comme la communication de ces pouvoirs au tiers (ATF 120 II 197 consid. 2b). L'idée est que celui qui laisse créer l'apparence d'un pouvoir de représentation se trouve lié par les actes accomplis en son nom (ATF 131 III 511 consid. 3.2.1 et les références citées). En matière de poursuite, la jurisprudence considère que, lorsque la reconnaissance de dette est signée par une personne se disant le représentant du débiteur, la mainlevée provisoire dans la poursuite intentée contre le représenté ne peut être prononcée que sur le vu d’une pièces attestant des pouvoirs du représentant ; de même quand l’obligé est une personne morale, la mainlevée provisoire dans la poursuite contre celle-ci ne peut être prononcée que si les pouvoirs du représentant (art. 32 al. 1 CO) ou de l’organe (art. 55 al. 2 CC [Code civil du 10 décembre 1907 ; RS 210]) qui a signé sont documentés par pièces. Il a toutefois été admis qu’il n’est pas arbitraire de prononcer la mainlevée provisoire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ressort clairement que le représentant ou l’organe a signé en vertu de pouvoirs (ATF 132 III 140 consid. 4.1.1 ; ATF 130 III 87 consid. 3.1 ; TF 5D_17/2015 du 29 mai 2015 consid. 5). Dans un arrêt plus récent dans lequel il examinait l’application de l’art. 82 LP avec un pouvoir d’examen non limité à l’arbitraire, le Tribunal fédéral a cependant précisé que, si l'octroi des pouvoirs de représentation – ou la réparation ultérieure de leur défaut (cf. art. 38 al. 1 CO) – pouvait résulter d'actes concluants, toutefois, une procuration donnée sans cette forme devait être prouvée par les moyens admis en procédure de mainlevée provisoire qui démontrent de façon claire et liquide le rapport de représentation, savoir par un titre. Le poursuivant ne peut donc pas convaincre le juge qu'il bénéficie d'une reconnaissance de dette valant titre de mainlevée en offrant d'autres preuves que le titre lui-</w:t>
      </w:r>
    </w:p>
    <w:p>
      <w:r>
        <w:t>- 10 - même, étant toutefois rappelé que la reconnaissance de dette peut résulter d'un ensemble de pièces dans la mesure où il en ressort les éléments nécessaires (TF 5A_578/2019 du 13 novembre 2019 consid. 4.2.2.3 et références).</w:t>
      </w:r>
    </w:p>
    <w:p>
      <w:r>
        <w:rPr>
          <w:b/>
        </w:rPr>
        <w:t>E. 2.2</w:t>
      </w:r>
    </w:p>
    <w:p>
      <w:r>
        <w:t>En l’espèce, il est constant que les contrats de location n’ont pas été signé par l’administrateur de l’intimée, seule personne ayant les pouvoirs d’engager celle-ci, mais par un employé sans pouvoirs de représentation, qui a utilisé le timbre humide de l’entreprise en accompagnement de sa signature. Cela ne suffit pas pour démontrer que l’administrateur de l’intimée aurait laissé se créer une apparence de pouvoirs de représentation en faveur du travailleur. Il n’y a par ailleurs aucun titre au dossier venant appuyer l’existence d’une telle apparence de pouvoirs. La bonne foi de la recourante, qui s’est fiée au timbre humide de l’intimée apposé sur le contrat litigieux, n’est en conséquence pas protégée, vu les règles spécifiques en matière de représentation. Il n’y a également aucun titre établissant une ratification des actes de l’employé J.________ par l’intimée. La recourante invoque en vain que l’intimée n’aurait jamais contesté l’établissement des factures ni soulevé des exceptions s’agissant du pouvoir de représentation, ne se présentant notamment pas à l’audience : elle a fait opposition à la poursuite – et cela semble avoir totalement échappé à la recourante - N.________, administrateur unique de l’intimée et au bénéfice de la signature individuelle, s’est présenté pour elle à l’audience, et a contesté les pouvoirs de représentation de J.________ pour l’intimée. Dans ces conditions, il est exclu de retenir de la part de l’intimée, car elle n’aurait pas réagi directement à des envois de la recourante un comportement dont il résulterait clairement que le dénommé « J.________ » aurait signé en vertu de pouvoir de représenter l’intimée.</w:t>
      </w:r>
    </w:p>
    <w:p>
      <w:r>
        <w:rPr>
          <w:b/>
        </w:rPr>
        <w:t>E. 3</w:t>
      </w:r>
    </w:p>
    <w:p>
      <w:r>
        <w:t>En conclusion, le recours doit être rejeté selon le mode procédural de l’art. 322 al. 1 CPC et le prononcé confirmé.</w:t>
      </w:r>
    </w:p>
    <w:p>
      <w:r>
        <w:t>- 11 - Vu le rejet du recours, les frais judiciaires de deuxième instance, arrêtés à 540 fr., doivent être mis à la charge de la recourante (art. 106 al. 1 CPC). Il n’est pas alloué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