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KC24.008238 vom 29. Juli 2024</w:t>
      </w:r>
    </w:p>
    <w:p>
      <w:r>
        <w:t>VD Tribunal cantonal, 2024-07-29, FR</w:t>
      </w:r>
    </w:p>
    <w:p>
      <w:r>
        <w:rPr>
          <w:b/>
        </w:rPr>
        <w:t xml:space="preserve">Quelle: </w:t>
      </w:r>
      <w:r>
        <w:t>https://mcp.opencaselaw.ch/entscheid/vd_gerichte_KC24.008238</w:t>
      </w:r>
    </w:p>
    <w:p>
      <w:r>
        <w:t>FR: VD_GERICHTE KC24.008238 du 29 juillet 2024</w:t>
      </w:r>
    </w:p>
    <w:p>
      <w:r>
        <w:t>IT: VD_GERICHTE KC24.008238 del 29 luglio 2024</w:t>
      </w:r>
    </w:p>
    <w:p>
      <w:pPr>
        <w:pStyle w:val="Heading2"/>
      </w:pPr>
      <w:r>
        <w:t>Volltext</w:t>
      </w:r>
    </w:p>
    <w:p>
      <w:r>
        <w:t>TRIBUNAL CANTONAL KC24.008238-240828 135 CO UR DE S P OURSUITES ET FAILL ITES ________________________________________________ Arrêt du 29 juillet 2024 __________________ Composition :M. HACK, président Mme Byrde et M. Maillard, juges Greffier : Mme Joye ***** Art. 321 al. 1 CPC Vu le prononcé rendu sous forme de dispositif le 19 avril 2024 par lequel la Juge de paix du district de l’Ouest lausannois a prononcé la mainlevée définitive de l’opposition formée par A.L.________ (poursuivie), à Ecublens, à la poursuite n° 10'931’724 de l’Office des poursuites du district de l’Ouest lausannois introduite par la CONFEDERATION SUISSE (poursuivante), représentée par le Tribunal fédéral, service des finances, à Lausanne (I), a arrêté à 90 fr. les frais judiciaires, compensés avec l’avance de frais de la poursuivante (II), les a mis à la charge de la poursuivie (III) et a dit que celle-ci rembourserait à la 111</w:t>
      </w:r>
    </w:p>
    <w:p>
      <w:r>
        <w:t>- 2 - poursuivante son avance de frais à concurrence de 90 fr., sans allocation de dépens pour le surplus (IV), vu la notification de ce dispositif à la poursuivie le 29 avril 2024, vu la lettre datée du 6 et postée le 7 mai 2024 adressée par la pour-suivie à la juge de paix, qui l’a considérée comme une demande de motivation, vu les motifs du prononcé adressés aux parties le 7 juin 2024 et notifiés à la poursuivie le 14 juin 2024, vu l’acte de recours daté du 18 et posté le 22 juin 2024, signé par A.L.________ et B.L.________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l’acte de recours a été déposé en temps utile ; attendu que pour être recevable, le recours doit être exercé par une personne ayant qualité pour recourir, qu’en principe, seules les parties à la procédure principale disposent de cette qualité, tout comme leurs successeurs à titre universel ou particulier, ainsi que les parties intervenantes ou appelées en cause (Colombini, Code de procédure civile, Condensé de la jurisprudence fédérale et vaudoise, 2018, n. 3.1 ad art. 321 CPC et les références),</w:t>
      </w:r>
    </w:p>
    <w:p>
      <w:r>
        <w:t>- 3 - que les tiers n’ont qualité pour recourir que si leurs intérêts juridiques sont touchés directement par la décision contestée (ibidem), que l’intérêt digne de protection est une condition de recevabilité qui doit être examinée d’office, même en l’absence de grief, y compris par l’autorité de deuxième instance (art. 59 al. 1 et 2 let. a CPC ; TF 4A_611/2016 du 20 mars 2017 consid. 2), que, pour que l'intérêt au recours soit admis, il suffit que le recourant apparaisse atteint dans un droit qui lui appartient (Colombini, op. cit., n. 3.3 ad art. 311 CPC et la référence), qu’en l’espèce, B.L.________ n’a pas qualité pour recourir dès lors qu’il n’est pas visé par la poursuite en cause et qu’il n’est partie à la procédure de main-levée, ni ne prétend au demeurant avoir la qualité pour recourir pour une autre raison, qu’en tant qu’il émane d’B.L.________, le recours est dès lors irrece-vable pour ce motif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w:t>
      </w:r>
    </w:p>
    <w:p>
      <w:r>
        <w:t>- 4 -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qu’il s’ensuit qu’en matière pécuniaire, les conclusions du recours doivent être chiffrées (CPF 22 février 2021/17 ; CREC 2 juin 2014/190 ; CREC 11 juillet 2014/238), qu’en l’espèce, dans son acte de recours, A.L.________formule des récriminations contre un médecin qu’elle semble tenir responsable d’une intervention chirurgicale qu’elle aurait subi en urgence en 2009, ainsi que contre différents magis-trats qui seraient intervenus dans un contexte dont la cour de céans ignore tout, que ce faisant, elle ne formule aucun grief ni moyen de recours recon-naissable et compréhensible contre le prononcé de la juge de paix, qu’en particulier, elle ne conteste pas les considérants topiques de ce prononcé selon lesquels la poursuivante est au bénéfice d'un jugement du Tribunal fédéral, exécutoire au sens de l’art. 80 LP (loi fédérale sur la poursuite pour dettes et la faillite ; RS 281.1) et valant titre de mainlevée définitive d’opposition, qu’elle ne formule en outre aucune conclusion chiffrée,</w:t>
      </w:r>
    </w:p>
    <w:p>
      <w:r>
        <w:t>- 5 - que le recours de A.L.________ est dès lors irrecevable pour motiva-tion insuffisante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A.L.________, - M. B.L.________, - Tribunal fédéral, service des finances (pour la Confédération suisse).</w:t>
      </w:r>
    </w:p>
    <w:p>
      <w:r>
        <w:t>- 6 -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