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KC23.048524 vom 30. August 2024</w:t>
      </w:r>
    </w:p>
    <w:p>
      <w:r>
        <w:t>VD Tribunal cantonal, 2024-08-30, FR</w:t>
      </w:r>
    </w:p>
    <w:p>
      <w:r>
        <w:rPr>
          <w:b/>
        </w:rPr>
        <w:t xml:space="preserve">Quelle: </w:t>
      </w:r>
      <w:r>
        <w:t>https://mcp.opencaselaw.ch/entscheid/vd_gerichte_KC23.048524</w:t>
      </w:r>
    </w:p>
    <w:p>
      <w:r>
        <w:t>FR: VD_GERICHTE KC23.048524 du 30 août 2024</w:t>
      </w:r>
    </w:p>
    <w:p>
      <w:r>
        <w:t>IT: VD_GERICHTE KC23.048524 del 30 agosto 2024</w:t>
      </w:r>
    </w:p>
    <w:p>
      <w:pPr>
        <w:pStyle w:val="Heading2"/>
      </w:pPr>
      <w:r>
        <w:t>Volltext</w:t>
      </w:r>
    </w:p>
    <w:p>
      <w:r>
        <w:t>TRIBUNAL CANTONAL KC23.048524-240926 154 CO UR DE S P OURSUITES ET FAILL ITES ________________________________________________ Arrêt du 30 août 2024 __________________ Composition :M. HACK, président Mmes Giroud Walther et Cherpillod, juges Greffier : M. Elsig ***** Art. 138 al. 3 let. a, 321 al. 2 CPC Vu le prononcé rendu le 8 avril 2024, dont les motifs ont été adressés aux parties le 7 juin 2024, par lequel le Juge de paix du district de l’Ouest lausannois a prononcé la mainlevée définitive de l’opposition formée par P.________, à [...], au commandement de payer les sommes de 12'701 fr. 50 avec intérêt à 4 % l’an dès le 3 novembre 2022 et 1'464 fr. sans intérêt dans la poursuite n° 10'810'286 de l’Office des poursuites du district de l’Ouest lausannois exercée par ETAT DE VAUD, représenté par l’Office d’impôt des district de Lausanne et de l’Ouest lausannois, à Lausanne, a arrêté les frais judiciaires à 360 fr., les a mis à la charge du poursuivi et a dit qu’en conséquence, celui-ci rembourserait au 111</w:t>
      </w:r>
    </w:p>
    <w:p>
      <w:r>
        <w:t>- 2 - poursuivant son avance de frais, par 360 fr., sans allocation de dépens pour le surplus, vu le suivi du pli contenant la motivation du prononcé destiné au poursuivi, dont il ressort qu’il a été avisé pour retrait le 10 juin 2024 et remis au poursuivi le 9 juillet 2024 après que celui-ci a déposé le 17 juin 2024 un ordre de prorogation du délai de garde postal, vu le recours, daté du 10 juillet 2024 et remis à la poste le lendemain, interjeté par le poursuivi contre ce prononcé, et la requête d’effet suspensif qu’il contient, vu la décision la Vice-présidente de la Cour des poursuites et faillites du 12 juillet 2024 rejetant la requête d’effet suspensif,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 attendu que l’art. 138 al. 3 let. a CPC prévoit que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w:t>
      </w:r>
    </w:p>
    <w:p>
      <w:r>
        <w:t>- 3 - actes de procédure qui lui sont notifiés (ATF 116 Ia 90, JdT 1992 IV 18 ; TF 1B_177/2020 du 28 avril 2020 consid. 1) ; que la jurisprudence a également précisé qu’en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1er octobre 2015), qu’en d’autres termes, il n’est pas prolongé lorsque la Poste permet de retirer le courrier dans un délai plus long, suite à une demande de garde par exemple (ATF 141 II 429 précité ; ATF 127 I 31, JdT 2001 I 727), qu’en l’espèce, le poursuivi a été avisé du pli contenant les motifs du prononcé destiné à lui le 10 juin 2024, que le poursuivi avait participé à la procédure de première instance, qu’il devait donc s’attendre à recevoir une communication judiciaire, que la règle de l’art. 138 al. 3 let. a CPC s’applique donc, que le délai de recours a commencé à courir à l’échéance du délai de sept jours dès la remise infructueuse, soit le 17 juin 2024, que la demande de prolongation par le poursuivi du délai de garde auprès de la Poste est sans effet sur ce point de départ, que le délai de recours est ainsi arrivé à échéance le 27 juin 2024,</w:t>
      </w:r>
    </w:p>
    <w:p>
      <w:r>
        <w:t>- 4 - que le recours daté du 10 juillet 2024 et posté le lendemain est en conséquence tardif, partant, irrecevable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P.________, - Office d’impôt des districts de Lausanne et de l’Ouest lausannois. La Cour des poursuites et faillites considère que la valeur litigieuse est de 14'165 fr. 50.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