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KC23.048369 vom 5. Mai 2025</w:t>
      </w:r>
    </w:p>
    <w:p>
      <w:r>
        <w:t>VD Tribunal cantonal, 2025-05-05, FR</w:t>
      </w:r>
    </w:p>
    <w:p>
      <w:r>
        <w:rPr>
          <w:b/>
        </w:rPr>
        <w:t xml:space="preserve">Quelle: </w:t>
      </w:r>
      <w:r>
        <w:t>https://mcp.opencaselaw.ch/entscheid/vd_gerichte_KC23.048369</w:t>
      </w:r>
    </w:p>
    <w:p>
      <w:r>
        <w:t>FR: VD_GERICHTE KC23.048369 du 5 mai 2025</w:t>
      </w:r>
    </w:p>
    <w:p>
      <w:r>
        <w:t>IT: VD_GERICHTE KC23.048369 del 5 maggio 2025</w:t>
      </w:r>
    </w:p>
    <w:p>
      <w:pPr>
        <w:pStyle w:val="Heading2"/>
      </w:pPr>
      <w:r>
        <w:t>Volltext</w:t>
      </w:r>
    </w:p>
    <w:p>
      <w:r>
        <w:t>TRIBUNAL CANTONAL KC23.048369-250290 32 CO UR DE S P OURSUITES ET FAILL ITES ________________________________________________ Arrêt du 5 mai 2025 __________________ Composition :M. HACK, président M. Maillard et Mme Cherpillod, juges Greffier : Mme Joye ***** Art. 321 al. 1 CPC Vu le prononcé rendu sous forme de dispositif le 12 juillet 2024, notifié aux parties le 15 juillet 2024, par lequel la Juge de paix du district de Nyon a prononcé, à concurrence de 5'800 fr. plus intérêt à 5% l’an dès le 15 juillet 2021 et de 8'000 fr. plus intérêt à 5% l’an dès le 1er juin 2022, la mainlevée provisoire de l’opposition formée par Z.________ (poursuivie) au commandement de payer n° 10'591'099 de l’Office des poursuites du même district notifié à la réquisition de L.________ (poursuivante) (I), a rejeté la requête pour le surplus (II), a mis les frais judiciaires, arrêtés à 360 fr., à la charge de la poursuivie (III et IV) et a dit que celle-ci devait rembourser ce montant à la 111</w:t>
      </w:r>
    </w:p>
    <w:p>
      <w:r>
        <w:t>- 2 - poursuivante qui en avait fait l’avance et lui verser la somme de 700 fr. à titre de dépens (V), vu l’écriture de la poursuivie intitulée « Recours et Opposition au Juge-ment Prononcé le 12 juillet 2024 » datée du 19 juillet 2024 et parvenue à la justice de paix le 22 juillet 2024, considérée comme une demande de motivation, vu les motifs du prononcé adressés le 28 février 2025 et notifiés aux parties le 3 mars 2025, vu les autres pièces du dossier ; attendu que le recours, au sens des art. 319 ss CPC (Code de procé-dure civile ;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 l’observation du délai pour recourir est une condition de receva-bilité du recours, que pour être recevable le recours doit également être motivé (art. 321 al. 1 CPC ; TF 5A_734/2023 du 18 décembre 2023 consid. 3.3 et les arrêts cités). que, si la motivation du recours fait défaut, l’instance de recours n’entre pas en matière (TF 5D_43/2019 du 24 mai 2019),</w:t>
      </w:r>
    </w:p>
    <w:p>
      <w:r>
        <w:t>- 3 - que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il fonde sa critique (ATF 147 III 176 consid. 4.2.1 ; TF 5A_734/2023 précité consid. 3.3 et les arrêts cités), que ni l’art. 132 al. 1 et 2 ni l’art. 56 CPC ne sont applicables en cas d’absence de motivation d’un acte de recours (TF 5A_734/2023 précité consid. 3.3 in fine et les arrêts cités) ; attendu qu’en l’espèce, le recours – daté du 19 et parvenu à la justice de paix le 22 juillet 2024 et donc déposé dans le délai de demande de motivation de dix jours – a été formé en temps utile, que dans son écriture, la recourante indique former recours en raison du fait que « le litige entre les parties (…) n’est nullement terminée entre les diffé-rentes Instances juridiques » et qu’elle est dans l’attente d’« une nouvelle audience entre les parties », que ce faisant, elle ne formule aucun grief contre les motifs retenus dans le prononcé de mainlevée, motifs dont l’intéressée ne connaissait d’ailleurs pas la teneur au moment où elle a fait recours, en juillet 2024, que les motifs de la décision ayant été notifiés à la recourante le 3 mars 2025, elle disposait encore d’un délai au 13 mars 2025 pour déposer un recours dirigé contre le prononcé motivé (art. 321 al. 2 CPC), que l’intéressée n’a toutefois pas déposé d’autre écriture dans le délai de recours à proprement parler,</w:t>
      </w:r>
    </w:p>
    <w:p>
      <w:r>
        <w:t>- 4 - que le recours du 19 juillet 2024 ne remplissant pas les exigences de motivation découlant de l’art. 321 al. 1 CPC et de la jurisprudence susmentionnée, il doit être déclaré irrecevable ; attendu que le présent arrêt est rendu sans frais (art. 11 TFJC [tarif des frais judiciaires en matière civile ; BLV 270.11.5]).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 - ABConseil.ch Sàrl (pour Z.________), - M. Christophe Savoy, agent d’affaires breveté (pour L.________).</w:t>
      </w:r>
    </w:p>
    <w:p>
      <w:r>
        <w:t>- 5 - La Cour des poursuites et faillites considère que la valeur litigieuse est de 13’800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