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KC23.047799 vom 5. Juni 2024</w:t>
      </w:r>
    </w:p>
    <w:p>
      <w:r>
        <w:t>VD Tribunal cantonal, 2024-06-05, FR</w:t>
      </w:r>
    </w:p>
    <w:p>
      <w:r>
        <w:rPr>
          <w:b/>
        </w:rPr>
        <w:t xml:space="preserve">Quelle: </w:t>
      </w:r>
      <w:r>
        <w:t>https://mcp.opencaselaw.ch/entscheid/vd_gerichte_KC23.047799</w:t>
      </w:r>
    </w:p>
    <w:p>
      <w:r>
        <w:t>FR: VD_GERICHTE KC23.047799 du 5 juin 2024</w:t>
      </w:r>
    </w:p>
    <w:p>
      <w:r>
        <w:t>IT: VD_GERICHTE KC23.047799 del 5 giugno 2024</w:t>
      </w:r>
    </w:p>
    <w:p>
      <w:pPr>
        <w:pStyle w:val="Heading2"/>
      </w:pPr>
      <w:r>
        <w:t>Volltext</w:t>
      </w:r>
    </w:p>
    <w:p>
      <w:r>
        <w:t>TRIBUNAL CANTONAL KC23.047799-240449 89 CO UR DE S P OURSUITES ET FAILL ITES ________________________________________________ Arrêt du 5 juin 2024 __________________ Composition :M. HACK, président M. Maillard et Mme Giroud Walther, juges Greffier : Mme Joye ***** Art. 321 al. 1 CPC Vu le prononcé rendu sous forme de dispositif le 22 janvier 2024, par lequel le Juge de paix du district de Lausanne a prononcé la mainlevée définitive de l’opposition formée par I.________ (poursuivie), à Lausanne, à la poursuite n° 10'980'574 de l’Office des poursuites du district de Lausanne introduite par la K.________ (poursuivante), à Lausanne, portant sur les sommes de 7'815 fr. 75 avec intérêt au taux de 5% l’an dès le 26 septembre 2023, de 92 fr. 25 sans intérêt, de 200 fr. sans intérêt et de 11 fr. 95 sans intérêt (soit un capital de 8'119 fr. 95) (I), a mis les frais judiciaires, arrêtés à 210 fr., à la charge de la poursuivie (II et III) et a dit 111</w:t>
      </w:r>
    </w:p>
    <w:p>
      <w:r>
        <w:t>- 2 - que celle-ci devait rembourser ce montant à la poursuivante qui en avait fait l’avance, sans allocation de dépens pour le surplus (IV), vu la demande de motivation de ce prononcé déposée le 31 janvier 2024 par la poursuivie, vu les motifs du prononcé adressés aux parties le 28 mars 2024 et notifiés à la poursuivie le 3 avril 2024, vu le recours interjeté le 3 avril 2024 contre ce prononcé par I.________, par l’intermédiaire de son agent d’affaires breveté, vu les autres pièces du dossier ; attendu que le recours a été déposé en temps utile, dans le délai de dix jours de l’art.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w:t>
      </w:r>
    </w:p>
    <w:p>
      <w:r>
        <w:t>- 3 - décision qu’il attaque et des pièces du dossier sur lesquelles il fonde sa critique (ATF 147 III 176 consid. 4.2.1), que ni l’art. 132 al. 1 et 2 ni l’art. 56 CPC ne sont applicables en cas d’absence de motivation d’un acte de recours (TF 5D_43/2019 du 24 mai 2019 consid. 3.2.2.1 ; TF 5A_387/2016 du 7 septembre 2016 consid. 3.1 ; TF 5A_488/ 2015 du 21 août 2015 consid. 3.2.1, publié in Revue suisse de procédure civile [RSPC] 2015 pp. 512 s. précité, et les arrêts cités), qu’un renvoi global aux arguments présentés en première instance ou aux pièces du dossier ne suffit pas à satisfaire au devoir de motivation ni ne cons-titue un allégué suffisant (TF 5A_113/2018 du 12 septembre 2018 consid. 4.2.1.2 ; TF 5A_573/2017 du 19 octobre 2017 consid. 3.3 ; TF 5A_209/2014 du 2 septembre 2014 consid. 4.2.1) que, de même, la reprise de la motivation développée devant le premier juge ne suffit pas (TF 4A_101/2014 du 26 juin 2014 consid. 3.3 ; Jeandin, Commen-taire romand précité, n. 3b ad art. 311 CPC), qu’en l’espèce, force est de constater que le recours est une reproduc-tion fidèle des déterminations déposées par la poursuivie en première instance, qu’en reprenant mot pour mot les arguments qu’elle avait présentées en première instance, la recourante n’expose pas en quoi le raisonnement du premier juge – qui a indiqué les motifs pour lesquels les arguments de la poursuivie devaient être écartés – serait erroné, que l’acte de recours ne satisfait donc pas les exigences de motivation de l’art. 321 al. 1 CPC et de la jurisprudence du Tribunal fédéral susmentionnée, que le recours doit dès lors être déclaré irrecevable ;</w:t>
      </w:r>
    </w:p>
    <w:p>
      <w:r>
        <w:t>- 4 - attendu qu’à supposer recevable, le recours aurait de toute manière dû être rejeté, qu’en effet, la requête de la poursuivante tend au prononcé de la mainlevée définitive de l’opposition à concurrence de 7'827 fr. 70 avec intérêt à 5% dès le 26 septembre 2023 (cotisations du 2e semestre 2023), de 200 fr. sans intérêt (taxe de sommation) et de 92 fr. 25 (intérêts moratoires dus au 25 septembre 2023), soit un capital de 8'119 fr. 95, que la requête de mainlevée est fondée sur un décompte de cotisations du 13 juin 2023, portant sur 7'827 fr. 70, et une sommation du 7 août 2023, portant sur le même montant augmenté de 200 fr. de taxe, rendus par la poursuivante et adressés à la poursuivie, que ces deux décisions – qui mentionnent les voies de droit à la disposition de leur destinataire pour les contester et qui sont attestés définitifs et exécutoires (dans la requête de mainlevée) – constituent bien des titres de main-levée définitive au sens de l’art. 80 al. 2 ch. 2 LP (loi fédérale du 11 avril 1889 sur la poursuite pour dettes et la faillite ; RS 281.1), que c’est à juste titre que le premier juge a écarté l’argument de la poursuivie consistant à dire qu’elle n’avait jamais reçu ces deux décisions, que selon la jurisprudence bien établie du Tribunal fédéral – et, dans son sillage, celle de la cour de céans (CPF 5 mars 2024/22 ; CPF 4 juillet 2023/82 ; CPF 25 mai 2020/127 ; CPF 10 août 2018/168)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w:t>
      </w:r>
    </w:p>
    <w:p>
      <w:r>
        <w:t>- 5 - 5A_838/2017 consid. 3.2.2 ; TF 5D_190/2017 du 31 janvier 2018 consid. 6.1), qu’en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5 mars 2024/22 précité ; CPF 14 sep-tembre 2023/167), qu’en l’espèce, la poursuivie a en tous les cas eu connaissance de l’existence de la décision du 13 juin 2023 au plus tard le 28 septembre 2023, jour de la notification du commandement de payer, acte qui comportait l’indication du titre de la créance ou cause de l'obligation suivante : « 1) Décompte de cotisations 2ème trimestre 2023 affilié n° 202342000/122861 du 13 juin 2023 sous déduction des éventuels paiements/compensations comptabilisés à la date du 25 septembre 2023 selon la décision du 7 sep-tembre 2023. 2) Intérêts de retard arrêtés au 25 septembre 2023. 3) Produit des frais de sommation, amendes et frais de taxation d’office. 4) « Cotisation fédérative FPV. », qu’à réception de cet acte, la poursuivie devait : soit, si elle n’en avait pas eu connaissance avant, demander à la poursuivante que la décision lui soit notifiée à nouveau, soit la contester dans le délai de trente jours d’opposition, ce qu’elle ne dit pas avoir fait, que dans ces circonstances, c’est en vain que l’intéressée a soutenu dans ses déterminations du 5 décembre 2023 sur la requête de mainlevée – soit plus de deux mois après la notification du commandement de payer – qu’elle n’aurait jamais reçu les décisions fondant la requête de mainlevée,</w:t>
      </w:r>
    </w:p>
    <w:p>
      <w:r>
        <w:t>- 6 - qu’au vu de ce qui précède, c’est à raison que le juge de paix a fait droit à la requête de mainlevée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Julien Greub, agent d’affaires breveté, - K.________. La Cour des poursuites et faillites considère que la valeur litigieuse est de 8'119 fr. 95.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