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KC23.042541 vom 22. Oktober 2024</w:t>
      </w:r>
    </w:p>
    <w:p>
      <w:r>
        <w:t>VD Tribunal cantonal, 2024-10-22, FR</w:t>
      </w:r>
    </w:p>
    <w:p>
      <w:r>
        <w:rPr>
          <w:b/>
        </w:rPr>
        <w:t xml:space="preserve">Quelle: </w:t>
      </w:r>
      <w:r>
        <w:t>https://mcp.opencaselaw.ch/entscheid/vd_gerichte_KC23.042541</w:t>
      </w:r>
    </w:p>
    <w:p>
      <w:r>
        <w:t>FR: VD_GERICHTE KC23.042541 du 22 octobre 2024</w:t>
      </w:r>
    </w:p>
    <w:p>
      <w:r>
        <w:t>IT: VD_GERICHTE KC23.042541 del 22 ottobre 2024</w:t>
      </w:r>
    </w:p>
    <w:p>
      <w:pPr>
        <w:pStyle w:val="Heading2"/>
      </w:pPr>
      <w:r>
        <w:t>Volltext</w:t>
      </w:r>
    </w:p>
    <w:p>
      <w:r>
        <w:t>TRIBUNAL CANTONAL KC23.042541-241249 194 CO UR DE S P OURSUITES ET FAILL ITES ________________________________________________ Arrêt du 22 octobre 2024 ____________________ Composition :M. HACK, président Mmes Byrde et Giroud Walther, juges Greffier : M. Elsig ***** Art. 321 al. 1 CPC Vu le prononcé non motivé rendu le 10 janvier 2024 par la Juge de paix du district de Nyon, notifié à la poursuivie le 29 janvier 2024, prononçant à concurrence de 1'995 fr. 05 avec intérêt à 5 % l’an dès le 11 août 2021 (rectifié dans la motivation au 31 août 2021), sous déduction de 50 fr. (valeur au 8 septembre 2022), 50 fr. (valeur au 7 octobre 2022), 50 fr. (valeur au 8 novembre 2022), 50 fr. (valeur au 8 décembre 2022), 50 fr. (valeur au 5 janvier 2023), 50 fr. (valeur au 10 janvier 2023), 50 fr. (valeur au 7 février 2022), 50 fr. (valeur au 8 mars 2023) et 50 fr. (valeur au 5 avril 2023) la mainlevée provisoire de l’opposition formée par K.________, à [...], au commandement de payer n° 10'946'123 de l’Office des poursuite du district de Nyon notifié à la réquisition de B.________ SA, à 111</w:t>
      </w:r>
    </w:p>
    <w:p>
      <w:r>
        <w:t>- 2 - [...], arrêtant les frais judiciaires à 150 fr., les mettant à la charge de la poursuivie et disant qu’en conséquence celle-ci rembourserait à la poursuivante son avance de frais, par 150 fr., sans allocation de dépens pour le surplus, vu le recours interjeté le 29 janvier 2024 par la poursuivie contre ce prononcé, vu les motifs du prononcé adressés aux parties le 21 août 2024 et notifiés à la poursuivie le 24 août 2024,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l’espèce l’acte du 29 janvier 2024 contestant le prononcé et valant demande de motivation a été déposé dans le délai de dix jours de l’art. 239 al. 2 CPC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 CPF 12 juin 2024/100),</w:t>
      </w:r>
    </w:p>
    <w:p>
      <w:r>
        <w:t>- 3 -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que ni l’art. 132 al. 1 et 2 ni l’art. 56 CPC ne sont applicables en cas d’absence de motivation d’un acte de recours (TF 5A_734/2023 du 18 décembre 2023 consid. 3.3 et les références citées), qu’en l’espèce, la recourante expose qu’elle aurait souhaité être entendue dans le bureau de la juge, fait grief à celle-ci de ne pas avoir tenu compte de sa situation financière, ainsi que de l’erreur de la poursuivante qui l’avait empêché de payer les acomptes prévus dans le plan de remboursement, que la motivation du prononcé prend note des déterminations de la recourante du 3 novembre 2023 et des pièces produites en relation avec la situation financière de celle-ci, considère que le plan de paiement et reconnaissance de dette du 31 août 2022 constituait un titre à la mainlevée provisoire, que la recourante avait reconnu avoir manqué par erreur de s’acquitter de certaines mensualités et que la situation financière de la recourante ne pouvait être prise en compte dans le cadre de la procédure de mainlevée, que la recourante n’a pas déposé de nouvelle écriture après la réception de cette motivation,</w:t>
      </w:r>
    </w:p>
    <w:p>
      <w:r>
        <w:t>- 4 - qu’elle ne discute donc pas les éléments qui y figurent, que le recours du 29 janvier 2024 ne satisfait donc pas aux exigences de l’art. 321 al. 1 CPC et de la jurisprudence susmentionnée, qu’il est donc irrecevable ; attendu que, si la société créancière devait requérir auprès de l’office des poursuites la continuation de la procédure d’exécution, cet office devrait examiner la situation financière de la recourante afin que le remboursement forcé de la dette en cause préserve le minimum vital de celle-ci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w:t>
      </w:r>
    </w:p>
    <w:p>
      <w:r>
        <w:t>- 5 - Du L'arrêt qui précède, dont la rédaction a été approuvée à huis clos, est notifié, par l'envoi de photocopies, à : - Mme K.________, - [...] (pour B.________ SA). La Cour des poursuites et faillites considère que la valeur litigieuse est de 1'545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