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KC23.041387 vom 12. März 2024</w:t>
      </w:r>
    </w:p>
    <w:p>
      <w:r>
        <w:t>VD Tribunal cantonal, 2024-03-12, FR</w:t>
      </w:r>
    </w:p>
    <w:p>
      <w:r>
        <w:rPr>
          <w:b/>
        </w:rPr>
        <w:t xml:space="preserve">Quelle: </w:t>
      </w:r>
      <w:r>
        <w:t>https://mcp.opencaselaw.ch/entscheid/vd_gerichte_KC23.041387</w:t>
      </w:r>
    </w:p>
    <w:p>
      <w:r>
        <w:t>FR: VD_GERICHTE KC23.041387 du 12 mars 2024</w:t>
      </w:r>
    </w:p>
    <w:p>
      <w:r>
        <w:t>IT: VD_GERICHTE KC23.041387 del 12 marzo 2024</w:t>
      </w:r>
    </w:p>
    <w:p>
      <w:pPr>
        <w:pStyle w:val="Heading2"/>
      </w:pPr>
      <w:r>
        <w:t>Volltext</w:t>
      </w:r>
    </w:p>
    <w:p>
      <w:r>
        <w:t>TRIBUNAL CANTONAL KC23.041387-240183 43 CO UR DE S P OURSUITES ET FAILL ITES ________________________________________________ Arrêt du 12 mars 2024 __________________ Composition :M. HACK, président Mmes Byrde et Giroud Walther, juges Greffier : Mme Joye ***** Art. 321 al. 1 CPC Vu le prononcé rendu sous forme de dispositif le 9 novembre 2023 par lequel la Juge de paix du district Lausanne a prononcé la mainlevée définitive de l’opposition formée par W.________(poursuivi), à Lausanne, à la poursuite n° 10'756’194 de l’Office des poursuites du district de Lausanne exercée par l’ETAT DE VAUD (poursuivant), représenté par l’Office d’impôt des districts de Lausanne et Ouest lausannois, à Lausanne, portant sur les sommes de 487 fr. avec intérêt à 4% dès le 1er janvier 2023 et de 12 fr. 50 sans intérêt (I), a mis les frais judiciaires, arrêtés à 90 fr., à la charge du poursuivi (II et III) et a dit que celui-ci devait rembour-ser ce montant 111</w:t>
      </w:r>
    </w:p>
    <w:p>
      <w:r>
        <w:t>- 2 - au poursuivant qui en avait fait l’avance, sans allocation de dépens pour le surplus (IV), vu la notification de cette décision au poursuivi le 17 novembre 2023, vu le courrier du poursuivi daté du 17 novembre 2023 et le courrier de son épouse daté du 20 novembre 2023, tous deux déposés le 21 novembre 2023 (dans la même enveloppe), vu la motivation du prononcé adressée aux parties le 11 janvier 2024 et notifiée au poursuivi le 13 janvier 2024, vu le courrier du poursuivi daté du 17 janvier 2024, posté à une date inconnue (le sceau postal étant illisible) et reçu au greffe de la justice de paix le 19 janvier 2024, vu l’avis de la juge de paix du 29 janvier 2024 invitant le poursuivi à lui indiquer si son courrier du 17 janvier 2024 devait être considéré comme un recours contre le prononcé du 9 novembre 2023 et informant l’intéressé que sans nouvelles de sa part d’ici au 8 février 2024, le dossier serait classé sans suite, vu le courrier daté du 4 et posté le 6 février 2024 par lequel le poursuivi a informé la juge de de paix que son écriture du 17 janvier 2024 devait être consi-dérée comme un recours,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w:t>
      </w:r>
    </w:p>
    <w:p>
      <w:r>
        <w:t>- 3 - que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 Tappy, Les voies de droit du nouveau Code de procédure civile, in JdT 2010 III 115, spéc. p. 131),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citées ; ATF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w:t>
      </w:r>
    </w:p>
    <w:p>
      <w:r>
        <w:t>- 4 - que ni l’art. 132 al. 1 et 2 ni l’art. 56 CPC ne sont applicables en cas d’absence de motivation d’un acte de recours (TF 5A_488/2015 précité consid. 3.2.2), qu’en l’espèce, la première juge a constaté que le poursuivant se prévalait d’une décision administrative définitive et exécutoire au sens de l’art. 80 al. 2 ch. 2 LP (loi fédérale sur la poursuite pour dettes et la faillite ; RS 281.1) qui valait titre de mainlevée définitive d’opposition pour les montants réclamés en poursuite, que le recourant ne critique pas le prononcé de mainlevée en lui-même mais remet en cause la décision de taxation sur laquelle est fondée la poursuite litigieuse, que de jurisprudence constante, le juge de la mainlevée doit vérifier si la créance en poursuite résulte du jugement, ou de la décision, exécutoire produit par la partie poursuivante, mais n’a pas à se déterminer sur l’existence matérielle de cette créance, ni sur le bien-fondé du jugement ou de la décision la constatant (ATF 143 III 564 consid. 4.3.1 et les arrêts cités), que le recours n’est ainsi pas motivé de manière conforme aux exigences posées par la loi et la jurisprudence en la matière et doit par conséquent être déclaré irrecevable ; attendu que le présent arrêt est rendu sans frais (art. 11 TFJC [tarif des frais judiciaires en matière civile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W.________, - Office d’impôt des districts de Lausanne et Ouest lausannois (pour l’Etat de Vaud). La Cour des poursuites et faillites considère que la valeur litigieuse est de 499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