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KC23.035907 vom 10. Oktober 2024</w:t>
      </w:r>
    </w:p>
    <w:p>
      <w:r>
        <w:t>VD Tribunal cantonal, 2024-10-10, FR</w:t>
      </w:r>
    </w:p>
    <w:p>
      <w:r>
        <w:rPr>
          <w:b/>
        </w:rPr>
        <w:t xml:space="preserve">Quelle: </w:t>
      </w:r>
      <w:r>
        <w:t>https://mcp.opencaselaw.ch/entscheid/vd_gerichte_KC23.035907</w:t>
      </w:r>
    </w:p>
    <w:p>
      <w:r>
        <w:t>FR: VD_GERICHTE KC23.035907 du 10 octobre 2024</w:t>
      </w:r>
    </w:p>
    <w:p>
      <w:r>
        <w:t>IT: VD_GERICHTE KC23.035907 del 10 ottobre 2024</w:t>
      </w:r>
    </w:p>
    <w:p>
      <w:pPr>
        <w:pStyle w:val="Heading2"/>
      </w:pPr>
      <w:r>
        <w:t>Volltext</w:t>
      </w:r>
    </w:p>
    <w:p>
      <w:r>
        <w:t>TRIBUNAL CANTONAL KC23.035907-241184 188 CO UR DE S P OURSUITES ET FAILL ITES ________________________________________________ Arrêt du 10 octobre 2024 _____________________ Composition :M. HACK, président Mmes Byrde et Giroud Walther, juges Greffier : M. Elsig ***** Art. 321 al. 2 CPC Vu le prononcé non motivé rendu le 17 janvier 2024 par le Juge de paix des districts du Jura-Nord vaudois et du Gros-de-Vaud, prononçant à concurrence de 16'339 fr. 32, avec intérêt à 4,28 % dès le 6 juin 2014, de 10'612 fr. 35 avec intérêt à 4,55 % dès le 6 juin 2014 et de 12'687 fr. 51 sans intérêt la mainlevée définitive de l’opposition formée par W.________, à [...], au commandement de payer n° 10'599'499 de l’Office des poursuites du district du Jura-Nord-vaudois notifié à la réquisition de S.________, à [...], arrêtant les frais judiciaires à 360 fr., les mettant à la charge de la poursuivie et disant qu’en conséquence, celle-ci rembourserait à la poursuivante son avance de frais, par 360 fr. et lui verserait des dépens de première instance, fixés à 550 fr., 111</w:t>
      </w:r>
    </w:p>
    <w:p>
      <w:r>
        <w:t>- 2 - vu la demande de motivation de ce prononcé déposée le 18 janvier 2024 par la poursuivante, vu les motifs du prononcé adressés aux parties le 6 août 2024, rectifiant notamment le dispositif en cens que la mainlevée définitive est accordée à concurrence du montant en capital de 10'524 fr. 27 au lieu de 10'612 fr. 35, vu le relevé de la Poste attestant que le pli contenant les motifs du prononcé adressé à la poursuivie avait fait l’objet d’un avis de retrait le 7 août 2024, que la poursuivie avait émis le 14 août 2024 un ordre de prolongation au 4 septembre 2024 du délai de retrait et que le pli en question avait été distribué à la poursuivie le 4 septembre 2024, vu le recours interjeté le 4 septembre 2024 par la poursuivie contre ce prononcé,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w:t>
      </w:r>
    </w:p>
    <w:p>
      <w:r>
        <w:t>- 3 -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la poursuivie a été avisée du pli contenant les motifs du prononcé à elle destiné le 7 août 2024, qu’elle avait participé à la procédure de première instance, qu’elle devait donc s’attendre à recevoir une communication judiciaire, que la règle de l’art. 138 al. 3 let. a CPC s’applique donc, que le délai de recours a commencé à courir à l’échéance du délai de sept jours dès la remise infructueuse, soit le 14 août 2024, que la demande de prolongation par la poursuivie du délai de garde auprès de la Poste est sans effet sur ce point de départ,</w:t>
      </w:r>
    </w:p>
    <w:p>
      <w:r>
        <w:t>- 4 - que le délai de recours est ainsi arrivé à échéance le samedi 24 août 2024, échéance reportée au lundi 26 août 2024 (art. 142 al. 3 CPC), que le recours posté le 4 septembre 2024 est en conséquence tardif et, partant,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W.________, - [...] (pour S.________). La Cour des poursuites et faillites considère que la valeur litigieuse est de 39'551 fr. 10.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