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KC23.035185 vom 29. Dezember 2023</w:t>
      </w:r>
    </w:p>
    <w:p>
      <w:r>
        <w:t>VD Tribunal cantonal, 2023-12-29, FR</w:t>
      </w:r>
    </w:p>
    <w:p>
      <w:r>
        <w:rPr>
          <w:b/>
        </w:rPr>
        <w:t xml:space="preserve">Quelle: </w:t>
      </w:r>
      <w:r>
        <w:t>https://mcp.opencaselaw.ch/entscheid/vd_gerichte_KC23.035185</w:t>
      </w:r>
    </w:p>
    <w:p>
      <w:r>
        <w:t>FR: VD_GERICHTE KC23.035185 du 29 décembre 2023</w:t>
      </w:r>
    </w:p>
    <w:p>
      <w:r>
        <w:t>IT: VD_GERICHTE KC23.035185 del 29 dicembre 2023</w:t>
      </w:r>
    </w:p>
    <w:p>
      <w:pPr>
        <w:pStyle w:val="Heading2"/>
      </w:pPr>
      <w:r>
        <w:t>Volltext</w:t>
      </w:r>
    </w:p>
    <w:p>
      <w:r>
        <w:t>TRIBUNAL CANTONAL KC23.035185-231662 290 CO UR DE S P OURSUITES ET FAILL ITES ________________________________________________ Arrêt du 29 décembre 2023 ______________________ Composition :M. HACK, président M. Maillard et Mme Giroud Walther, juges Greffier : M. Elsig ***** Art. 321 al. 1 CPC Vu le prononcé non motivé rendu le 12 octobre 2023 par le Juge de paix du district de Lavaux-Oron, notifié à la poursuivie le 20 octobre 2023, prononçant la mainlevée définitive de l’opposition formée par P.________, à [...], au commandement de payer la somme de 225 fr. sans intérêt, dans la poursuite n° 10'836'092 de l’Office des poursuites du district de Lavaux-Oron exercée par l’ETAT DE VAUD, représenté par la Direction du recouvrement – NFP, à Lausanne, indiquant comme titre de la créance ou cause de l’obligation : « Montant dû au 15.05.2023 selon : Frais pénaux no [...] dans l’enquête [...] – Ordonnance de non- entrée en matière », arrêtant les frais judiciaires à 90 fr., les mettant à la charge de la poursuivie et disant qu’en conséquence celle-ci 111</w:t>
      </w:r>
    </w:p>
    <w:p>
      <w:r>
        <w:t>- 2 - rembourserait au poursuivant son avance de frais, par 90 fr., sans allocation de dépens pour le surplus, vu la demande de motivation de ce prononcé déposée le 25 octobre 2023 par la poursuivie, vu les motifs du prononcé adressés aux parties le 23 novembre 2023 et notifiés à la poursuivie le 29 novembre 2023, vu le recours interjeté contre ce prononcé le 6 décembre 2023 par la poursuivie, attendu que la demande de motivation et le recours ont été déposés dans les délais de dix jours des art. 239 al. 2 et 321 al. 2 CPC (Code de procédure civile du 19 décembre 2008 ; RS 272) ; attendu que la recourante interdit aux juges du Tribunal cantonal de traiter le présent recours, car il est selon elle impossible de leur faire confiance, cette interdiction étant amenée à être levée quand de « profonds changement auront eu lieu au sein des magistrats vaudois et fédéraux », qu’il s’agit ainsi d’un recours conditionnel, en soi irrecevable (Reetz/Hilber, Kommentar zur Schweizerischen Zivilprozessordnung, Sutter-Somm/Hasenböhler/Leuenberger Hrsg, 3e éd., Genève/Bâle/Zurich 2016, n. 45 ad art. 308-318 CPC et les références ; CPF 30 décembre 2020/39),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w:t>
      </w:r>
    </w:p>
    <w:p>
      <w:r>
        <w:t>- 3 - qu'en particulier, selon l'art. 321 al. 1 CPC, le recours doit être motivé, que, si la motivation du recours fait défaut, l’instance de recours n’entre pas en matière,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5D_43/2019 du 24 mai 2019 consid. 3.2.2.1 ; TF 5A_387/2016 du 7 septembre 2016 consid. 3.1 ; TF 5A_488/2015 du 21 août 2015 consid. 3.2.1, publié in Revue suisse de procédure civile [RSPC] 2015 pp. 512 s. précité, et les arrêts cités), qu’en l’espèce, la recourante fait grief aux autorités judiciaires d’avoir refusé de rechercher la vérité et d’appliquer la loi dans le cadre d’une succession ouverte en 2003 dans laquelle elle considère avoir été lésée en 2008, que, ce faisant elle ne discute pas la motivation du prononcé attaqué, dont il ressort que l’ordonnance du 15 juillet 2022 mettant notamment les frais de la décision, par 225 fr., à la charge de la recourante est définitive et exécutoire, de sorte que les conditions de la mainlevée définitive sont réalisées et que le juge de la mainlevée ne peut examiner le bien-fondé de la décision dont l’exécution forcée est demandée, que le recours ne satisfait donc pas aux exigences de motivation de l’art. 321 al. 1 CPC et de la jurisprudence susmentionnée,</w:t>
      </w:r>
    </w:p>
    <w:p>
      <w:r>
        <w:t>- 4 - qu’il est donc irrecevable pour ce motif également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Mme P.________, - Direction du recouvrement – NFP (pour Etat de Vaud). La Cour des poursuites et faillites considère que la valeur litigieuse est de 225 francs.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