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KC23.024923 vom 29. Dezember 2023</w:t>
      </w:r>
    </w:p>
    <w:p>
      <w:r>
        <w:t>VD Tribunal cantonal, 2023-12-29, FR</w:t>
      </w:r>
    </w:p>
    <w:p>
      <w:r>
        <w:rPr>
          <w:b/>
        </w:rPr>
        <w:t xml:space="preserve">Quelle: </w:t>
      </w:r>
      <w:r>
        <w:t>https://mcp.opencaselaw.ch/entscheid/vd_gerichte_KC23.024923</w:t>
      </w:r>
    </w:p>
    <w:p>
      <w:r>
        <w:t>FR: VD_GERICHTE KC23.024923 du 29 décembre 2023</w:t>
      </w:r>
    </w:p>
    <w:p>
      <w:r>
        <w:t>IT: VD_GERICHTE KC23.024923 del 29 dicembre 2023</w:t>
      </w:r>
    </w:p>
    <w:p>
      <w:pPr>
        <w:pStyle w:val="Heading2"/>
      </w:pPr>
      <w:r>
        <w:t>Volltext</w:t>
      </w:r>
    </w:p>
    <w:p>
      <w:r>
        <w:t>TRIBUNAL CANTONAL KC23.024923-231607 264 CO UR DE S P OURSUITES ET FAILL ITES ________________________________________________ Arrêt du 29 décembre 2023 _______________________ Composition :M. HACK, président M. Maillard et Mme Cherpillod, juges Greffier : Mme Debétaz Ponnaz ***** Art. 321 al. 1 CPC Vu le prononcé rendu le 10 juillet 2023, à la suite de l’audience du même jour, et adressé aux parties le 12 septembre 2023 par le Juge de paix du district de Lausanne, (I) rejetant la requête de mainlevée d’opposition déposée par E.________SÀRL, à [...], dans la poursuite n° 10’817'930 de l’Office des poursuites du district de Lausanne exercée contre U.________, au [...], (II) arrêtant à 150 fr. les frais judiciaires, compensés avec l’avance de frais de la poursuivante, (III) mettant les frais à la charge de la poursuivante et (IV) n’allouant pas de dépens, vu la notification du dispositif de ce prononcé à la poursuivante le 13 septembre 2023, 111</w:t>
      </w:r>
    </w:p>
    <w:p>
      <w:r>
        <w:t>- 2 - vu la demande de motivation du prononcé formulée par la poursuivante, par lettre postée le 21 septembre 2023, vu les motifs du prononcé adressés aux parties le 15 et notifiés la poursuivante le 17 novembre 2023, vu le recours formé contre ce prononcé auprès de la cour de céans par la poursuivante, par acte daté du 21 et posté le 27 novembre 2023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mémoire d’appel (ATF 147 III 176 consid. 4.2.1 ; TF 5A_693/2022 du 6 mars 2022 consid. 6.2 ; TF 5A_488/2015 du 21 août 2015 consid. 3.2.1, publié in RSPC 6/2015 pp. 512 s., et les arrêts cités),</w:t>
      </w:r>
    </w:p>
    <w:p>
      <w:r>
        <w:t>- 3 - que cela signifie que le recourant doit tendre à démontrer le caractère erroné de la motivation de la décision attaquée en la discutant au moins de manière succincte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 TF 5A_693/2022 précité), que ni l’art. 132 al. 1 et 2 ni l’art. 56 CPC ne sont applicables en cas d’absence de motivation d’un acte de recours (TF 5D_43/2019 du 24 mai 2019 consid. 3.2.2.1 ; TF 5A_387/2016 du 7 septembre 2016 consid. 3.1 ; RSPC 6/2015 pp. 512 s. précité, et les arrêts cités), qu’en l’espèce, la recourante indique qu’elle souhaite « faire appel à votre institution afin de continuer la poursuite », ce qui permet de comprendre qu’elle conclut implicitement à la réforme du prononcé en ce sens que la mainlevée de l’opposition à la poursuite en cause est accordée, qu’au reste, elle présente sa version des faits et rappelle quelques étapes du déroulement de la procédure de première instance, mais ne soulève en revanche aucun grief contre la motivation topique de la décision du premier juge, qui a rejeté la requête de la poursuivante, considérant qu’elle ne disposait pas d’un titre de mainlevée d’opposition dès lors que rien n’indiquait que le bail conclu par le poursuivi avec un tiers à la suite d’une visite d’appartement effectuée le 19 janvier 2023, soit avant la signature du contrat de mandat conclu entre les parties le 26 janvier suivant, ait été signé durant la période de validité de ce mandat, que par conséquent, faute d’être motivé conformément aux exigences en la matière, le recours est irrecevable ; attendu que le présent arrêt est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E.________Sàrl, - M. U.________.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- 5 -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