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KC23.023822 vom 14. März 2024</w:t>
      </w:r>
    </w:p>
    <w:p>
      <w:r>
        <w:t>VD Tribunal cantonal, 2024-03-14, FR</w:t>
      </w:r>
    </w:p>
    <w:p>
      <w:r>
        <w:rPr>
          <w:b/>
        </w:rPr>
        <w:t xml:space="preserve">Quelle: </w:t>
      </w:r>
      <w:r>
        <w:t>https://mcp.opencaselaw.ch/entscheid/vd_gerichte_KC23.023822</w:t>
      </w:r>
    </w:p>
    <w:p>
      <w:r>
        <w:t>FR: VD_GERICHTE KC23.023822 du 14 mars 2024</w:t>
      </w:r>
    </w:p>
    <w:p>
      <w:r>
        <w:t>IT: VD_GERICHTE KC23.023822 del 14 marzo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conclusion, le recours, manifestement mal fondé, doit être rejeté dans la mesure où il est recevable.</w:t>
      </w:r>
    </w:p>
    <w:p>
      <w:r>
        <w:t>- 9 - Vu le rejet du recours, les frais judiciaires de deuxième instance, arrêtés à 720 fr., doivent être mis à la charge de la recourante (art. 106 al. 1 CPC). Il n’y a pas lieu d’allouer de dépens à l’intimée, celle-ci n’ayant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