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KC23.019644 vom 8. Dezember 2023</w:t>
      </w:r>
    </w:p>
    <w:p>
      <w:r>
        <w:t>VD Tribunal cantonal, 2023-12-08, FR</w:t>
      </w:r>
    </w:p>
    <w:p>
      <w:r>
        <w:rPr>
          <w:b/>
        </w:rPr>
        <w:t xml:space="preserve">Quelle: </w:t>
      </w:r>
      <w:r>
        <w:t>https://mcp.opencaselaw.ch/entscheid/vd_gerichte_KC23.019644</w:t>
      </w:r>
    </w:p>
    <w:p>
      <w:r>
        <w:t>FR: VD_GERICHTE KC23.019644 du 8 décembre 2023</w:t>
      </w:r>
    </w:p>
    <w:p>
      <w:r>
        <w:t>IT: VD_GERICHTE KC23.019644 del 8 dicembre 2023</w:t>
      </w:r>
    </w:p>
    <w:p>
      <w:pPr>
        <w:pStyle w:val="Heading2"/>
      </w:pPr>
      <w:r>
        <w:t>Erwägungen</w:t>
      </w:r>
    </w:p>
    <w:p>
      <w:r>
        <w:rPr>
          <w:b/>
        </w:rPr>
        <w:t>E. 1</w:t>
      </w:r>
    </w:p>
    <w:p>
      <w:r>
        <w:t>a) Le 6 septembre 2022, à la réquisition de l’État de Vaud, représenté par l’Administration cantonale des impôts (ci-après : ACI), l’Office des poursuites du district d’Aigle a notifié à S.________, dans la poursuite n° 10'530’161, un commandement de payer les sommes de : 1)63'438 fr. 10 avec intérêt à 3.5% l’an dès le 21 décembre 2021, 2)123 fr. 20 sans intérêt, 3)365 fr. 20 sans intérêt, 4)5 fr. 45 sans intérêt, indiquant comme titre de la créance ou cause de l’obligation : 1)« Impôt sur le revenu et la fortune 2016 (État de Vaud, Communes de Gryon, Ollon) selon décision de taxation du 11.11.2021 et du décompte final du 11.11.2021 ; sommation adressée le 13.01.2022. » 2)« Intérêts moratoires sur acomptes. » 3) « Intérêts compensatoires. » 4) « Intérêts moratoires sur décompte. ». Le poursuivi a formé opposition totale. b) Le 2 mai 2023, le poursuivant a requis de la Juge de paix du district d’Aigle qu’elle prononce la mainlevée définitive de l'opposition à concurrence des montants en poursuite, en capital (63'931 fr. 95 au total) et intérêt. A l’appui de sa requête, il a produit, outre le commandement de payer précité, notamment les pièces suivantes : – une copie conforme à l’original d’une « Décision de taxation définitive et calcul de l’impôt » rendue le 11 novembre 2021 par l’ACI, adressée au poursuivi, fixant à 94'236 fr. l’impôt sur le revenu et la fortune (ICC) 2016 et à 9'331 fr. 70 l’impôt fédéral direct (IFD) 2016 ; cette décision mentionne la voie de la réclamation écrite auprès de l’autorité de taxation dans les trente jours dès la notification de la décision ; elle</w:t>
      </w:r>
    </w:p>
    <w:p>
      <w:r>
        <w:t>- 3 - porte en outre un timbre humide attestant qu’elle est passée en force, faute de réclamation ; – une copie conforme à l’original d’un « Décompte final complémentaire » de l’ACI du 11 novembre 2021, adressé au poursuivi, portant sur un solde échu, au 20 novembre 2021, de 72'430 fr. 60, soit 94'236 fr. d’ICC 2016 et 9'331 fr. 70 d’IFD 2016 selon la décision de taxation précitée, plus 50 fr. d’émolument selon sommation du 23 novembre 2017, 123 fr. 20 d’intérêts moratoires sur acompte ICC, 365 fr. 20 d’intérêts compensatoires ICC, 5 fr. 45 d’intérêts moratoires sur décompte ICC et 672 fr. 35 d’intérêts moratoires sur décompte IFD, sous déduc- tion de 32'351 fr. 50 de paiement, de 0 fr. 45 d’intérêts rémunératoires sur acomptes ICC et de 1 fr. 35 d’intérêts rémunératoires sur acomptes IFD ; le décompte indique que la part de l’ICC se monte à 63'931 fr. 95, celle de l’IFD à 8'448 fr. 65 et celle de l’émolument de sommation à 50 fr. ; il comporte en annexe l’indication de la voie de la réclamation ; il porte en outre un timbre humide attes- tant que cette décision est passée en force, faute de réclamation ; – un rappel du 13 janvier 2022 invitant le poursuivi à payer le montant de 63'931 fr. 95 dans les dix jours, à défaut de quoi une procédure de poursuite serait intro- duite, et précisant que l’intérêt moratoire était dû et que ce rappel valait somma- tion au sens de l’art. 228 LI (loi du 4 juillet 2000 sur les impôts directs cantonaux ; RSV 642.11) ; – des déterminations déposées par S.________ dans le cadre d’une précé- dente procédure de mainlevée entre les mêmes parties, relative à une poursuite n° 10'310'131 portant sur les mêmes créances que la présente cause, dans le cadre de laquelle le prénommé avait contesté avoir reçu la décision de taxation du 11 novembre 2021 ;</w:t>
      </w:r>
    </w:p>
    <w:p>
      <w:r>
        <w:t>- 4 - – un prononcé rendu le 5 juillet 2022 par la Juge de paix du district d’Aigle dans le cadre de la poursuite n° 10'310'131, rejetant la requête de mainlevée de l’ACI ; – un relevé de la Poste concernant un envoi n° 98.01.050889.00021664, distribué le 22 juillet 2022, portant la mention suivante : « 2014- 2015-2016 : Dernier RAPPEL avant poursuite à payer d’ici le 22 août 2022 envoyé avec Décisions de taxation et décomptes finaux en courrier A+ le 21.07.2022/BML. 98.01.050889.00021664 Poste Courrier 21.07.2022 S.________ / Courrier A+ ». c) Par courrier recommandé du 8 mai 2023, la juge de paix a notifié la requête de mainlevée au poursuivi et lui a imparti un délai au 8 juin 2023 pour se déterminer et pour produire toute pièce utile. A la demande du poursuivi, ce délai a été prolongé au 30 juin 2023. L’intéressé n’a pas procédé.</w:t>
      </w:r>
    </w:p>
    <w:p>
      <w:r>
        <w:rPr>
          <w:b/>
        </w:rPr>
        <w:t>E. 2</w:t>
      </w:r>
    </w:p>
    <w:p>
      <w:r>
        <w:t>Par prononcé rendu sous forme de dispositif le 19 juillet 2023, la Juge de paix du district d’Aigle a prononcé la mainlevée définitive de l’opposition à concur-rence des montants en poursuite (I), a arrêté à 480 fr. les frais judiciaires, compen-sés avec l’avance de frais du poursuivant (II), les a mis à la charge du poursuivi (III) et a dit qu’en conséquence celui-ci rembourserait au poursuivant son avance de frais à concurrence de 480 fr., sans allocation de dépens pour le surplus (IV). La motivation du prononcé, requise par le poursuivi le 26 juillet 2023, a été adressée aux parties le 28 août 2023. En substance, la juge de paix a considéré que la décision de taxation définitive du 11 novembre 2021 avait été valablement notifiée au poursuivi le 22 juillet 2022, qu’elle était munie des voies de droit, qu’elle n’avait pas fait l’objet d’une réclamation et qu’elle constituait dès lors un titre de mainlevée définitive pour les montants réclamés en poursuite. Elle a retenu, par surabondance, que le décompte final du même jour devait être également considéré comme définitif.</w:t>
      </w:r>
    </w:p>
    <w:p>
      <w:r>
        <w:t>- 5 -</w:t>
      </w:r>
    </w:p>
    <w:p>
      <w:r>
        <w:rPr>
          <w:b/>
        </w:rPr>
        <w:t>E. 3</w:t>
      </w:r>
    </w:p>
    <w:p>
      <w:r>
        <w:t>Par acte déposé le 8 septembre 2023, S.________ a recouru contre le prononcé précité et a conclu, avec suite de frais et dépens, au maintien de son opposition au commandement de payer. L’intimé n’a pas été invité à se déterminer.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w:t>
      </w:r>
    </w:p>
    <w:p>
      <w:r>
        <w:t>- 6 -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 En l’espèce, la requête de mainlevée définitive est fondée sur une décision de taxation définitive et un décompte final de l’ACI, datés du 11 novembre 2021 et adressés au poursuivi. Tant la décision de taxation que le décompte final comportent les voies de droit à la disposition du justiciable pour les contester. Contrairement à ce qu’il avait fait dans une précédente procédure de mainlevée con-cernant les mêmes créances, le recourant ne conteste pas avoir reçu la décision de taxation invoquée. Il s’ensuit que cette décision, de même que le décompte final, tous deux attestés exécutoires, constituent des titres de mainlevée définitive pour les montants réclamés en poursuite. ca)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- 7 - cb) Pour sa libération, le recourant invoque l’art. 170 al. 1 LI, aux termes duquel le droit de procéder à la taxation se prescrit par cinq ans à compter de la fin de la période fiscale. Il soutient que la décision de taxation du 11 novembre 2021 aurait été rendue alors que le droit de procéder à la taxation était, selon lui, prescrit depuis le 31 décembre 2019. Cet argument, que le poursuivi n’a pas invoqué en première instance, est irrecevable. Il est en effet exclu d’invoquer la prescription pour la première fois dans la procédure de recours (Abbet, op. cit., n. 138 ad art. 84 LP et la référence). Cela dit, à supposer recevable, le moyen devrait de toute manière être rejeté. L’art. 81 al. 1 in fine LP ne vise en effet que la prescription acquise depuis le jugement et non celle que le justiciable aurait pu soulever dans le procès au fond (Abbet, op. cit., n. 29 ad art. 81 LP et les références). Ici, le recourant aurait pu invoquer la prescription du droit de taxer dans le cadre d’une réclamation contre la décision de taxation litigieuse, ce qu’il n’a pas fait. Une taxation effectuée malgré la survenance de la prescription n’est en outre pas nulle mais seulement annulable (ATF 133 II 366 consid. 3.4). Le recourant ne peut dès lors pas se prévaloir d’une éventuelle prescription du droit de taxer dans le cadre de la procédure de mainlevée (Abbet, op. cit., n. 29a ad art. 81 LP et les références). III. Au vu de ce qui précède, le recours, manifestement mal fondé, doit être rejeté et le prononcé confirmé. Les frais judiciaires de deuxième instance, arrêtés à 720 fr., sont mis à la charge du recourant, qui succombe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