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KC23.018001 vom 29. Dezember 2023</w:t>
      </w:r>
    </w:p>
    <w:p>
      <w:r>
        <w:t>VD Tribunal cantonal, 2023-12-29, FR</w:t>
      </w:r>
    </w:p>
    <w:p>
      <w:r>
        <w:rPr>
          <w:b/>
        </w:rPr>
        <w:t xml:space="preserve">Quelle: </w:t>
      </w:r>
      <w:r>
        <w:t>https://mcp.opencaselaw.ch/entscheid/vd_gerichte_KC23.018001</w:t>
      </w:r>
    </w:p>
    <w:p>
      <w:r>
        <w:t>FR: VD_GERICHTE KC23.018001 du 29 décembre 2023</w:t>
      </w:r>
    </w:p>
    <w:p>
      <w:r>
        <w:t>IT: VD_GERICHTE KC23.018001 del 29 dicembre 2023</w:t>
      </w:r>
    </w:p>
    <w:p>
      <w:pPr>
        <w:pStyle w:val="Heading2"/>
      </w:pPr>
      <w:r>
        <w:t>Volltext</w:t>
      </w:r>
    </w:p>
    <w:p>
      <w:r>
        <w:t>TRIBUNAL CANTONAL KC23.018001-231526 255 CO UR DE S P OURSUITES ET FAILL ITES ________________________________________________ Arrêt du 29 décembre 2023 _______________________ Composition :M. HACK, président Mme Byrde et M. Maillard, juges Greffier : Mme Debétaz Ponnaz ***** Art. 239 al. 2 et 321 al. 1 CPC Vu le prononcé rendu le 15 juin 2023, à la suite de l’audience du jour précédent, et adressé aux parties le 17 août 2023 par la Juge de paix du district de Lausanne, (I) rejetant la requête de mainlevée d’opposition déposée par S.________, à [...], dans la poursuite n° 10’740'262 de l’Office des poursuites du district de Lausanne exercée à son instance contre D.________, à [...], (II) arrêtant à 150 fr. les frais judiciaires, compensés avec l’avance de frais de la partie poursuivante, (III) mettant les frais à la charge de la partie poursuivante et (IV) n’allouant pas de dépens, vu la notification du dispositif de ce prononcé à la partie poursuivante le 22 août 2023, 111</w:t>
      </w:r>
    </w:p>
    <w:p>
      <w:r>
        <w:t>- 2 - vu la lettre adressée le 25 août 2023 à la juge de paix par S.________, sous la signature de [...], indiquant ne pas comprendre « pourquoi, même si la cliente reconnaît me devoir cette somme, vous n’acceptez pas la reconnaissance de dette », et demandant à la juge de paix de lui expliquer le motif du rejet de sa requête de mainlevée, car il souhaitait « faire opposition », vu le nouvel envoi de cette lettre par la partie poursuivante à la juge de paix le 4 septembre 2023, vu les motifs du prononcé adressés aux parties le 19 et notifiés à S.________ le 23 octobre 2023, vu la transmission du dossier par la juge de paix à la cour de céans, autorité de recours, le 13 novembre 2023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(Colombini, Code de procédure civile, Condensé de la jurisprudence fédérale et vaudoise, n. 3.1.1. ad art. 239 CPC et les références citées ; CREC 31 janvier 2020/30), qu’un tel recours sera cependant le plus souvent irrecevable faute de motivation topique, s’il n’est pas suivi d’un nouveau recours dans le délai suivant la réception des considérants écrits (CREC 31 janvier 2020/30 précité),</w:t>
      </w:r>
    </w:p>
    <w:p>
      <w:r>
        <w:t>- 3 - qu’en effet,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revanche, lorsqu’elle a recouru dans le délai de demande de motivation, la partie recourante peut déposer un nouvel acte</w:t>
      </w:r>
    </w:p>
    <w:p>
      <w:r>
        <w:t>- 4 - de recours motivé dans le délai de recours proprement dit, soit dans les dix jours suivant la notification du prononcé motivé (art. 321 al. 2 CPC), qu’en l’espèce, dans sa lettre du 25 août 2023, S.________ a seulement déclaré vouloir comprendre les motifs du rejet de sa requête de mainlevée, alors que, selon elle, elle disposait d’une reconnaissance de dette de la part de la poursuivie, et souhaiter faire « opposition », soit recours contre cette décision, qu’il ressort du prononcé motivé que la juge de paix a considéré en substance que l’identité entre créancier et poursuivant n’était pas établie, que la créance mentionnée dans le commandement de payer était insuffisamment désignée et que les divers courriels échangés avec la poursuivie dont se prévalait la poursuivante n’étaient munis d’aucune signature électronique qualifiée et ne valaient donc pas reconnaissance de dette, que la poursuivante n'a pas déposé d'autre acte après que les motifs du prononcé lui ont été notifiés, qu’elle n’a ainsi pas donné corps à son intention de faire recours contre la décision de la juge de paix, qu’il est dès lors douteux que sa lettre du 25 août 2023 ait été plus qu’une demande de motivation, déposée en temps utile, que dans la mesure où il s’agirait toutefois également d’un recours, cet acte est irrecevable, faute d’être motivé ; attendu que le présent arrêt est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S.________ Sàrl, - Mme D.________. La Cour des poursuites et faillites considère que la valeur litigieuse est de 3’139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