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KC23.010251 vom 13. Oktober 2023</w:t>
      </w:r>
    </w:p>
    <w:p>
      <w:r>
        <w:t>VD Tribunal cantonal, 2023-10-13, FR</w:t>
      </w:r>
    </w:p>
    <w:p>
      <w:r>
        <w:rPr>
          <w:b/>
        </w:rPr>
        <w:t xml:space="preserve">Quelle: </w:t>
      </w:r>
      <w:r>
        <w:t>https://mcp.opencaselaw.ch/entscheid/vd_gerichte_KC23.010251</w:t>
      </w:r>
    </w:p>
    <w:p>
      <w:r>
        <w:t>FR: VD_GERICHTE KC23.010251 du 13 octobre 2023</w:t>
      </w:r>
    </w:p>
    <w:p>
      <w:r>
        <w:t>IT: VD_GERICHTE KC23.010251 del 13 ottobre 2023</w:t>
      </w:r>
    </w:p>
    <w:p>
      <w:pPr>
        <w:pStyle w:val="Heading2"/>
      </w:pPr>
      <w:r>
        <w:t>Erwägungen</w:t>
      </w:r>
    </w:p>
    <w:p>
      <w:r>
        <w:rPr>
          <w:b/>
        </w:rPr>
        <w:t>E. 26</w:t>
      </w:r>
    </w:p>
    <w:p>
      <w:r>
        <w:t>ad art. 138 CPC), que la notification est alors réputée accomplie au terme d’un délai de sept jours, peu importe que le dernier jour soit un samedi ou un jour férié (ATF 127 I 31, JdT 2001 I 727), que la Poste accepte de distribuer le pli après l’échéance du délai de sept jours suite à une demande de prolongation de garde, par exemple, ou que l’avis de retrait fixe un délai de garde de huit ou neuf jours pour tenir compte d’éventuels jours fériés (Bohnet, op. cit., nn. 23 et 25 ad art. 138 CPC), qu’en ce qui concerne les féries et la suspension des poursuites, les dispositions de la LP sont expressément réservées par l’art. 145 al. 4 CPC, que les féries de poursuites courent en été du 15 au 31 juillet inclus (art. 56 ch. 2 LP), que, selon l’art. 63 LP, les délais ne cessent pas de courir pendant la durée des féries, mais si la fin d’un délai à disposition du débiteur, du créancier ou d’un tiers coïncide avec un jour des féries, ce délai est prolongé jusqu’au troisième jour utile, le samedi, le dimanche et les jours légalement fériés n’étant pas comptés dans cette prolongation de trois jours, que cette disposition s'applique au délai de recours en procédure de mainlevée, notamment, car elle ne vise pas uniquement les délais pendant lesquels des actes officiels au sens de l'art. 56 LP doivent être opérés, mais encore tous ceux qui sont impartis au débiteur pour sauvegarder ses intérêts (ATF 143 III 38 consid. 3.2 ; ATF 115 III 91 consid. 3, JdT 1991 II 175 ; CPF 30 avril 2021/102),</w:t>
      </w:r>
    </w:p>
    <w:p>
      <w:r>
        <w:t>- 6 - qu’en l’espèce, le prononcé adressé aux parties le 6 juillet 2023, à la notification duquel le requérant devait s’attendre vu la procédure en cours, est réputé lui avoir été notifié le 14 juillet 2023, soit à l’échéance du délai de garde de sept jours, que le délai de dix jours pour recourir expirait donc le 24 juillet 2023, soit durant les féries d’été prévues par la LP (art. 56 ch. 2 LP), de sorte que cette échéance était reportée au troisième jour utile suivant la fin des féries (art. 63 LP), soit le vendredi 4 août 2023, le mardi 1er août étant férié, que le dépôt du recours le 11 août 2023 était ainsi tardif, que, pour ce deuxième motif également, le recours est irrecevable, qu’en outre, la partie qui entend user d'une voie de droit a la charge de se conformer à certaines règles de forme, à défaut de quoi sa démarche sera frappée d'irrecevabilité (Jeandin, in Bohnet et alii (éd.), Commentaire romand, Code de procédure civile, 2e éd.,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(ATF 147 III 176 consid. 4.2.1 et les références citées ; 141 III 569 consid. 2.3.3 et réf. cit. ; TF 5A_488/2015 du 21 août 2015 consid. 3.2.1, publié in RSPC 6/2015 pp. 512 s., et les arrêts cités),</w:t>
      </w:r>
    </w:p>
    <w:p>
      <w:r>
        <w:t>- 7 - que cela signifie que la partie recourante doit démontrer le caractère erroné de la motivation de la décision attaquée et que son argumentation doit être suffisamment explicite pour que l’instance de recours puisse la comprendre, ce qui suppose une désignation précise des passages de la décision qu’elle attaque et des pièces du dossier sur lesquelles elle fonde sa critique (ATF 141 III 569 consid. 2.3.3 et réf. cit. ; TF 5A_488/2015 consid. 3.2.1 précité), que ni l’art. 132 al. 1 et 2 ni l’art. 56 CPC ne sont applicables en cas d’absence de motivation d’un acte de recours (TF 5A_488/2015 précité consid. 3.2.2), qu’en l’espèce, le recours est dénué de motivation topique contre le prononcé rejetant la requête de restitution de délai, le recourant tentant manifestement de passer outre à cette décision en présentant ses déterminations sur la requête de mainlevée, que pour ce troisième motif également, le recours est irrecevable ; attendu que le présent arrêt peut être rendu sans frais (art. 11 TFJC [tarif des frais judiciaires civils] ; BLV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