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VD_GERICHTE KC23.005425 vom 15. Dezember 2023</w:t>
      </w:r>
    </w:p>
    <w:p>
      <w:r>
        <w:t>VD Tribunal cantonal, 2023-12-15, FR</w:t>
      </w:r>
    </w:p>
    <w:p>
      <w:r>
        <w:rPr>
          <w:b/>
        </w:rPr>
        <w:t xml:space="preserve">Quelle: </w:t>
      </w:r>
      <w:r>
        <w:t>https://mcp.opencaselaw.ch/entscheid/vd_gerichte_KC23.005425</w:t>
      </w:r>
    </w:p>
    <w:p>
      <w:r>
        <w:t>FR: VD_GERICHTE KC23.005425 du 15 décembre 2023</w:t>
      </w:r>
    </w:p>
    <w:p>
      <w:r>
        <w:t>IT: VD_GERICHTE KC23.005425 del 15 dicembre 2023</w:t>
      </w:r>
    </w:p>
    <w:p>
      <w:pPr>
        <w:pStyle w:val="Heading2"/>
      </w:pPr>
      <w:r>
        <w:t>Erwägungen</w:t>
      </w:r>
    </w:p>
    <w:p>
      <w:r>
        <w:rPr>
          <w:b/>
        </w:rPr>
        <w:t>E. 3</w:t>
      </w:r>
    </w:p>
    <w:p>
      <w:r>
        <w:t>Vu ce qui précède, à supposer que le recours soit recevable, il est manifestement mal fondé et doit être rejeté. Le prononcé attaqué doit être confirmé. Les frais judiciaires de deuxième instance, arrêtés à 225 fr. (art. 61 OELP [Ordonnance fédérale sur les émoluments perçus en application de la loi fédérale sur la poursuite pour dettes et la faillite ; RS</w:t>
      </w:r>
    </w:p>
    <w:p>
      <w:r>
        <w:t>- 10 - 281.35]), doivent être mis à la charge du recourant, qui succombe (art. 106 al. 1 CPC) et qui en a déjà fait l’avance. Il n’y a pas lieu d’allouer des dépens de deuxième instance, l’intimée n’ayant pas été invitée à procéder.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