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KC22.050681 vom 23. April 2024</w:t>
      </w:r>
    </w:p>
    <w:p>
      <w:r>
        <w:t>VD Tribunal cantonal, 2024-04-23, FR</w:t>
      </w:r>
    </w:p>
    <w:p>
      <w:r>
        <w:rPr>
          <w:b/>
        </w:rPr>
        <w:t xml:space="preserve">Quelle: </w:t>
      </w:r>
      <w:r>
        <w:t>https://mcp.opencaselaw.ch/entscheid/vd_gerichte_KC22.050681</w:t>
      </w:r>
    </w:p>
    <w:p>
      <w:r>
        <w:t>FR: VD_GERICHTE KC22.050681 du 23 avril 2024</w:t>
      </w:r>
    </w:p>
    <w:p>
      <w:r>
        <w:t>IT: VD_GERICHTE KC22.050681 del 23 aprile 2024</w:t>
      </w:r>
    </w:p>
    <w:p>
      <w:pPr>
        <w:pStyle w:val="Heading2"/>
      </w:pPr>
      <w:r>
        <w:t>Volltext</w:t>
      </w:r>
    </w:p>
    <w:p>
      <w:r>
        <w:t>TRIBUNAL CANTONAL KC22.050681-240276 56 CO UR DE S P OURSUITES ET FAILL ITES ________________________________________________ Arrêt du 23 avril 2024 __________________ Composition :M. HACK, président M. Maillard et Mme Cherpillod, juges Greffier : Mme Joye ***** Art. 321 al. 1 CPC Vu le prononcé rendu sous forme de dispositif le 2 août 2023 par lequel la Juge de paix du district de l’Ouest lausannois a rejeté la requête de main-levée déposée par L.________ (poursuivante), à Neuhausen am Rheinfall, dans la poursuite n° 10'491'745 de l’Office des poursuites du district de l’Ouest lausannois dirigée contre B.________ (poursuivie), à Ecublens (I), a mis les frais judiciaires, arrêtés à 360 fr. à la charge de la poursuivante (II et III) et a dit qu’il n’était pas alloué de dépens (IV), 111</w:t>
      </w:r>
    </w:p>
    <w:p>
      <w:r>
        <w:t>- 2 - vu la notification de ce prononcé à la poursuivante le 10 août 2023, vu la motivation du prononcé, requise le 16 août 2023, adressée aux parties le 31 janvier 2024 et notifiée à la poursuivante le 1er février 2024, vu le courrier de la poursuivante du 7 février 2024, accompagné de deux pièces nouvelles, adressé à la Juge de paix du district de l’Ouest lausannois, vu le délai au 29 février 2024 imparti par la juge de paix à la poursui-vante afin que celle-ci lui indique si son courrier du 7 février 2024 devait être consi-déré comme un recours, vu l’écriture déposée par le 27 février 2024 par la poursuivante qui déclare former recours contre le prononcé du 2 août 2023,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l’espèce, le courrier du 7 février 2024 a été déposé dans le délai de dix jours de l’art. 321 al. 2 CPC,</w:t>
      </w:r>
    </w:p>
    <w:p>
      <w:r>
        <w:t>- 3 - qu’au vu de l’acte déposé le 27 février 2024, dans le délai au 29 février 2024 imparti par la juge de paix, le courrier du 7 février 2024 doit être considéré comme un recours, que le recours du 7 février 2024 a ainsi été formé en temps utile, que l’acte déposé le 27 février 2024 est en revanche tardif en tant que recours et donc irrecevable à ce titre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w:t>
      </w:r>
    </w:p>
    <w:p>
      <w:r>
        <w:t>- 4 - décision qu’il attaque et des pièces du dossier sur lesquelles il fonde sa critique (ATF 147 III 176 précité), que ni l’art. 132 al. 1 et 2 ni l’art. 56 CPC ne sont applicables en cas d’absence de motivation d’un acte de recours (TF 5D_43/2019 précité ; TF 5A_387/ 2016 précité), qu’en l’espèce, l’acte du 7 février 2024 ne contient aucune motivation, l’écriture consistant en une simple transmission de nouvelles pièces à la juge de paix (pièces qui sont du reste irrecevables en vertu de l’art. 326 al. 1 CPC), que l’écriture du 7 février 2024 ne satisfait donc pas aux exigences de motivation de l’art. 321 al. 1 CPC et à la jurisprudence susmentionnée, que le recours est ainsi irrecevable ; attendu qu’on peut préciser que la recourante conserve la possibilité de déposer une nouvelle requête de mainlevée tant que le commandement de payer n’est pas périmé ; attendu que le présent arrêt sera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La greffière : Du L'arrêt qui précède, dont la rédaction a été approuvée à huis clos, est notifié, par l'envoi de photocopies, à : - L.________, - B.________. La Cour des poursuites et faillites considère que la valeur litigieuse est de 14'656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