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KC22.044197 vom 2. März 2023</w:t>
      </w:r>
    </w:p>
    <w:p>
      <w:r>
        <w:t>VD Tribunal cantonal, 2023-03-02, FR</w:t>
      </w:r>
    </w:p>
    <w:p>
      <w:r>
        <w:rPr>
          <w:b/>
        </w:rPr>
        <w:t xml:space="preserve">Quelle: </w:t>
      </w:r>
      <w:r>
        <w:t>https://mcp.opencaselaw.ch/entscheid/vd_gerichte_KC22.044197</w:t>
      </w:r>
    </w:p>
    <w:p>
      <w:r>
        <w:t>FR: VD_GERICHTE KC22.044197 du 2 mars 2023</w:t>
      </w:r>
    </w:p>
    <w:p>
      <w:r>
        <w:t>IT: VD_GERICHTE KC22.044197 del 2 marzo 2023</w:t>
      </w:r>
    </w:p>
    <w:p>
      <w:pPr>
        <w:pStyle w:val="Heading2"/>
      </w:pPr>
      <w:r>
        <w:t>Volltext</w:t>
      </w:r>
    </w:p>
    <w:p>
      <w:r>
        <w:t>TRIBUNAL CANTONAL KC22.044197-230018 7 CO UR DE S P OURSUITES ET FAILL ITES ________________________________________________ Arrêt du 2 mars 2023 __________________ Composition :M. HACK, président Mme Byrde et M. Maillard, juges Greffier : Mme Joye ***** Art. 321 al. 1 CPC Vu le prononcé rendu sous forme de dispositif le 20 décembre 2022, à la suite de l’interpellation du poursuivi, par lequel la Juge de paix du district d’Aigle a prononcé, à concurrence du montant en poursuite, la mainlevée définitive de l’opposition formée par R.________, à Villeneuve, au commandement de payer n° 10'216'829 de l’Office des poursuites d’Aigle, notifié à la réquisition de la CONFE-DERATION SUISSE, représentée par l’Administration fédérale des finances, à Berne (I), a mis les frais judiciaires, arrêtés à 90 fr., à la charge du poursuivi (II et III) et a dit que celui-ci rembourserait à la poursuivante son avance de frais, par 90 fr., sans allo-cation de dépens pour le surplus (IV), 111</w:t>
      </w:r>
    </w:p>
    <w:p>
      <w:r>
        <w:t>- 2 - vu la notification de ce dispositif au poursuivi le 27 décembre 2022, vu l’acte de recours déposé par R.________ le 28 décembre 2022, vu les motifs du prononcé adressés aux parties le 29 décembre 2022 et notifiés au poursuivi le 4 janvier 2023, vu le nouvel acte de recours déposé par R.________ le 6 janvier 2022,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l’espèce, tant l’acte de recours du 28 décembre 2022 que celui du 6 janvier 2023 ont été déposés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w:t>
      </w:r>
    </w:p>
    <w:p>
      <w:r>
        <w:t>- 3 -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 2016 précité ; RSPC 6/2015 pp. 512 s. précité, et les arrêts cités) ; attendu qu’en l’espèce, le recourant déclare « refuser » le prononcé entrepris parce que celui-ci reposerait sur des « faux juridiques » et tient des propos inconvenants contre les magistrats ayant traité son dossier, qu’il ne soulève toutefois aucun moyen dirigé contre les motifs du prononcé selon lesquels la décision de la Cour d’appel du Tribunal pénal fédéral du 27 mai 2020, mettant à la charge du poursuivi des frais arrêtés à 200 fr. et entré en force, constitue un titre à la mainlevée définitive,</w:t>
      </w:r>
    </w:p>
    <w:p>
      <w:r>
        <w:t>- 4 - que, faute de motivation topique, le recours doit être déclaré irrece-vable, qu’il n’est dès lors pas nécessaire d’impartir au recourant un délai au sens de l’art. 132 al. 2 CPC pour réparer les vices dont ses actes sont manifeste-ment entachés (actes inconvenants comportant des propos insultants)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R.________, - Administration fédérale des finances (pour la Confédération suisse).</w:t>
      </w:r>
    </w:p>
    <w:p>
      <w:r>
        <w:t>- 5 - La Cour des poursuites et faillites considère que la valeur litigieuse est de 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