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KC22.042550 vom 3. Juli 2023</w:t>
      </w:r>
    </w:p>
    <w:p>
      <w:r>
        <w:t>VD Tribunal cantonal, 2023-07-03, FR</w:t>
      </w:r>
    </w:p>
    <w:p>
      <w:r>
        <w:rPr>
          <w:b/>
        </w:rPr>
        <w:t xml:space="preserve">Quelle: </w:t>
      </w:r>
      <w:r>
        <w:t>https://mcp.opencaselaw.ch/entscheid/vd_gerichte_KC22.042550</w:t>
      </w:r>
    </w:p>
    <w:p>
      <w:r>
        <w:t>FR: VD_GERICHTE KC22.042550 du 3 juillet 2023</w:t>
      </w:r>
    </w:p>
    <w:p>
      <w:r>
        <w:t>IT: VD_GERICHTE KC22.042550 del 3 luglio 2023</w:t>
      </w:r>
    </w:p>
    <w:p>
      <w:pPr>
        <w:pStyle w:val="Heading2"/>
      </w:pPr>
      <w:r>
        <w:t>Erwägungen</w:t>
      </w:r>
    </w:p>
    <w:p>
      <w:r>
        <w:rPr>
          <w:b/>
        </w:rPr>
        <w:t>E. 1</w:t>
      </w:r>
    </w:p>
    <w:p>
      <w:r>
        <w:t>Le 26 octobre 2021, à la réquisition d’I.________ SA, l’Office des poursuites du district de Lausanne a notifié à C.________ SA, dans la poursuite n° 10'137'571, un commandement de payer les sommes de 1) 2'455 fr. 55 avec intérêt à 5 % l’an dès le 11 septembre 2021, 2) 142 fr. 55 sans intérêt, 3) 25 fr. sans intérêt, 4) 382 fr. 50 sans intérêt, (5) 75 fr. sans intérêt, 6) 18 fr. 30 sans intérêt et 7) 20 fr. sans intérêt, indiquant comme titres des créances ou causes des obligations ce qui suit : « 1. Facture no [...] du 25.03.2020 pour no de client [...]. Créance cédée par D.________ AG [...]</w:t>
      </w:r>
    </w:p>
    <w:p>
      <w:r>
        <w:rPr>
          <w:b/>
        </w:rPr>
        <w:t>E. 2</w:t>
      </w:r>
    </w:p>
    <w:p>
      <w:r>
        <w:t>Intérêts courus jusqu’au 10.09.2021</w:t>
      </w:r>
    </w:p>
    <w:p>
      <w:r>
        <w:rPr>
          <w:b/>
        </w:rPr>
        <w:t>E. 3</w:t>
      </w:r>
    </w:p>
    <w:p>
      <w:r>
        <w:t>[...] supplémentaire</w:t>
      </w:r>
    </w:p>
    <w:p>
      <w:r>
        <w:rPr>
          <w:b/>
        </w:rPr>
        <w:t>E. 4</w:t>
      </w:r>
    </w:p>
    <w:p>
      <w:r>
        <w:t>Indemnité</w:t>
      </w:r>
    </w:p>
    <w:p>
      <w:r>
        <w:rPr>
          <w:b/>
        </w:rPr>
        <w:t>E. 5</w:t>
      </w:r>
    </w:p>
    <w:p>
      <w:r>
        <w:t>Frais de cession</w:t>
      </w:r>
    </w:p>
    <w:p>
      <w:r>
        <w:rPr>
          <w:b/>
        </w:rPr>
        <w:t>E. 6</w:t>
      </w:r>
    </w:p>
    <w:p>
      <w:r>
        <w:t>Frais de poursuite antérieurs</w:t>
      </w:r>
    </w:p>
    <w:p>
      <w:r>
        <w:rPr>
          <w:b/>
        </w:rPr>
        <w:t>E. 7</w:t>
      </w:r>
    </w:p>
    <w:p>
      <w:r>
        <w:t>Autres frais » La poursuivie a formé opposition totale. 2. a) Par acte du 12 octobre 2022, la poursuivante a requis du Juge de paix du district de Lausanne qu’il accorde la mainlevée provisoire de l’opposition. A l’appui de sa requête, elle a produit, outre le commandement de payer susmentionné, notamment les pièces suivantes : - une copie d’un contrat n° [...] pour client n° [...] signé le 15 mars 2018 sur le papier à en-tête de Q.________ par l’administrateur avec signature individuelle de la poursuivie et par W.________ en qualité de conseiller clientèle, portant sur des produits publicitaires sur internet pour des montants annuels de respectivement 1'880 fr. et 400 fr. pour une durée de trois ans. Le contrat prévoyait une mise en ligne de la publicité au plus tard trente jours après la signature. Il mentionnait D.________ AG avec</w:t>
      </w:r>
    </w:p>
    <w:p>
      <w:r>
        <w:t>- 3 - l’adresse de celle-ci. Les conditions générales pour contrat Online de Q.________ avec mention de D.________ AG étaient jointes au contrat ; - une copie d’une facture n° [...] de 2'455 fr. 55 (1'880 fr. + 400 fr. + 175 fr. 55 de TVA à 7,7 %) adressée le 24 avril 2020 par D.________ AG à la poursuivie sur papier à en-tête de Q.________ pour la période du 21 mars 2020 au 21 mars 2021. La facture se réfère au contrat [...] ; - une copie d’une « Déclaration de cession générale (décision) et déclaration de confirmation » de N.________ SA du 3 décembre 2018 cédant pour recouvrement à la poursuivante toutes les créances actuelles et futures, y compris les droits annexes et préférentiels, nées de son exploitation, y compris celles des sociétés du groupe, la poursuivante étant contractuellement tenue de recouvrer ces créances. A cette déclaration, était jointe un « Geschäftsbericht » de N.________ SA, dont il ressort que cette société possède 69 % du capital et des droits de vote de D.________ AG. b) Par courriers recommandés du 27 octobre 2022, le juge de paix a notifié la requête au poursuivi et a cité les parties à comparaitre à l’audience du 30 novembre 2022. Les parties ont fait défaut à cette audience. 3. Par prononcé non motivé du 30 novembre 2022, notifié à la poursuivie le 6 décembre 2022, le Juge de paix du district de Lausanne a prononcé la mainlevée provisoire de l’opposition à concurrence de 2'455 fr. 55, avec intérêt à 5 % l’an dès le 27 octobre 2021 (I), a arrêté les frais judiciaires à 150 fr. (II), les a mis à la charge de la poursuivie (III) et a dit qu’en conséquence celle-ci rembourserait à la poursuivante son avance de frais, par 150 fr., sans allocation de dépens pour le surplus (IV).</w:t>
      </w:r>
    </w:p>
    <w:p>
      <w:r>
        <w:t>- 4 - Le 13 décembre 2022, la poursuivie a demandé la motivation de ce prononcé, a motivé sa demande, a également recouru et a produit une pièce. Les motifs du prononcé ont été adressés aux parties le 9 mars 2023 et notifiés à la poursuivie le 14 mars 2023. En substance, le premier juge a considéré que la poursuivante avait pris, par cession, la place du créancier dans le rapport contractuel en cause et que le contrat du 15 mars 2018 valait reconnaissance de dette et titre à la mainlevée provisoire pour le montant de 2'455 fr. 55, les autres montants réclamés dans le commandement de payer n’étant fondés sur aucune reconnaissance de dette de la poursuivie. Il a fait partir, faute d’interpellation antérieure, l’intérêt moratoire du lendemain de la notification du commandement de payer. La poursuivie n’a déposé aucune écriture dans les dix jours qui ont suivi la notification du prononcé motivé. En d roit : I. a)aa)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Toutefois,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w:t>
      </w:r>
    </w:p>
    <w:p>
      <w:r>
        <w:t>- 5 - 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bb) La demande de motivation et recours a été déposée dans le délai de dix jours de l’art. 239 al. 2 CPC soit en temps utile. b)aa) 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ATF 138 III 374 consid. 4.3.1 ; 5A_503/2018 du 25 septembre 2018 consid. 6.3 et les réf. cit. concernant les art. 310 et 311 CPC relatifs à l’appel, mais applicables par analogie au recours ; ATF 147 III 176 précité ; TF 4A_580/2015 du 11 avril 2016 consid. 2.2 et les réf. cit. ; TF 5D_190/2014 du 2 septembre 2014 consid. 4.2.1 ; cf. Jeandin, in Bohnet et alii (éd.), Commentaire romand, CPC, précité, n. 2 et 4 ad art. 321 CPC). bb)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w:t>
      </w:r>
    </w:p>
    <w:p>
      <w:r>
        <w:t>- 6 - définitivement (Chaix, Introduction au recours de la nouvelle procédure civile fédérale, in SJ 2009 II 257 ss, n. 17, p. 267 ; CPF 14 octobre 2019/209 ; CPF 29 mars 2018/39 ; CPF 17 novembre 2017/271 ; CPF 13 août 2014/295 ; CPF 12 novembre 2013/445). cc) En l’espèce, dans sa demande de motivation et recours du 13 décembre 2022, la recourante se demande quelle entité juridique a introduit la poursuite en cause et en vertu de quels pouvoirs de représentation. Ce faisant elle ne discute pas les considérants du prononcé selon lesquels la poursuivante a pris, par cession, la place du créancier dans le rapport contractuel en cause. Ce moyen est insuffisamment développé et partant irrecevable au regard de l’art. 321 al. 1 CPC et de la jurisprudence y relative. La recourante conteste les pouvoirs de W.________ d’engager D.________ AG dans le contrat du 15 mars 2018 et soutient en conséquence que ce contrat est caduc. Ce faisant, elle soulève un nouveau moyen de droit sur la base des faits de première instance, ce qui est admissible (Bovey, in Aubry Girardin et alii (éd.), Commentaire de la LTF, 3e éd., 2022, n 10 ad art. 99 LTF applicable en procédure devant les autorités de recours cantonale, ATF 145 III 422, consid. 5.2 ; ATF 139 III 466 consid. 3.4). Ce moyen est en conséquence recevable. En revanche les allégations de la recourante selon lesquelles elle n’a pas eu de réponse significative de l’intimée à ses appels à la conciliation et que l’intimé lui aurait demandé de se faire radier du registre du commerce pour pouvoir annuler la facture en cause n’ont pas été invoquées en première instance et constituent en conséquence des allégations nouvelles irrecevables en vertu de l’art. 326 al. 1 CPC. Il en va de même de la pièce qu’elle produit avec son écriture du 13 décembre 2022, qui ne figure pas au dossier de première instance. II. aa) D'après l'art. 32 al. 1 CO (Code des obligations du 30 mars 1911 ; RS 220), les droits et obligations dérivant d'un contrat fait au nom</w:t>
      </w:r>
    </w:p>
    <w:p>
      <w:r>
        <w:t>- 7 -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arrêts cités ; TF 4A_378/2016 du 11 janvier 2017 consid. 3.2.3.1 ; CPF 22 août 2019/168)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(ATF 124 III 355 c. 5, JdT 1999 I 384 ; ATF 93 Il 302 c. 4 ; TF 9C_495/2015 du 17 juin 2016 consid. 5.2.6 ; CPF 7 juin 2019/95). bb) En l’espèce, le contrat du 15 mars 2018 sur lequel l’intimée fonde sa requête a été signé sur papier à en-tête de Q.________ mentionnant D.________ AG et l’adresse de celle-ci, par W.________, en qualité de conseiller clientèle. Ce dernier a donc bien déclaré agir au nom de D.________ AG, par Q.________. L’intimée n’avait pas à prouver les pouvoirs de représentation, dès lors qu’en adressant la facture du 24 avril 2020, D.________ AG a ratifié le contrat. Le recours doit ainsi être rejeté sur ce point.</w:t>
      </w:r>
    </w:p>
    <w:p>
      <w:r>
        <w:t>- 8 - III. En conclusion, le recours, manifestement mal fondé, doit être rejeté dans la mesure où il est recevable et le prononcé attaqué confirmé. Le présent arrêt est rendu sans frais (art. 11 TFJC [tarif du 28 septembre 2010 des frais judiciaires civils ; BLV 270.11.5]).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