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KC22.041837 vom 28. März 2024</w:t>
      </w:r>
    </w:p>
    <w:p>
      <w:r>
        <w:t>VD Tribunal cantonal, 2024-03-28, FR</w:t>
      </w:r>
    </w:p>
    <w:p>
      <w:r>
        <w:rPr>
          <w:b/>
        </w:rPr>
        <w:t xml:space="preserve">Quelle: </w:t>
      </w:r>
      <w:r>
        <w:t>https://mcp.opencaselaw.ch/entscheid/vd_gerichte_KC22.041837</w:t>
      </w:r>
    </w:p>
    <w:p>
      <w:r>
        <w:t>FR: VD_GERICHTE KC22.041837 du 28 mars 2024</w:t>
      </w:r>
    </w:p>
    <w:p>
      <w:r>
        <w:t>IT: VD_GERICHTE KC22.041837 del 28 marzo 2024</w:t>
      </w:r>
    </w:p>
    <w:p>
      <w:pPr>
        <w:pStyle w:val="Heading2"/>
      </w:pPr>
      <w:r>
        <w:t>Erwägungen</w:t>
      </w:r>
    </w:p>
    <w:p>
      <w:r>
        <w:rPr>
          <w:b/>
        </w:rPr>
        <w:t>E. 23</w:t>
      </w:r>
    </w:p>
    <w:p>
      <w:r>
        <w:t>p. 10, all. 32 p. 12, all. 39 p. 13, all. 45 p. 15, all. 48 p. 15). Ce mode de faire n’est pas conforme aux réquisits des art. 320 let. b et 321 al. 1 CPC, et il est très douteux que cette contestation des faits soit recevable ; elle sera de toute manière examinée dans le cadre des griefs de violation du droit (cf. infra consid. IV). Par ailleurs, contrairement à ce que soutient la recourante, l’état de fait pertinent n’est fondé que sur les pièces produites durant le premier échange d’écritures, de sorte que la question de la recevabilité des écritures déposées par les parties postérieurement à cet échange pourrait rester indécise. III. a) Selon l'art. 80 LP (loi fédérale sur la poursuite pour dettes et la faillite ; RS 281.1), le créancier au bénéfice d'un jugement exécutoire peut requérir du juge la mainlevée définitive de l'opposition formée à la poursuite. Le juge ordonne ladite mainlevée, à moins que l'opposant ne prouve par titre que la dette a été éteinte ou qu'il a obtenu un sursis, postérieurement au jugement, ou qu'il ne se prévale de la prescription (art. 81 al. 1 LP). Si le jugement a été rendu dans un autre Etat, l’opposant peut en outre faire valoir les moyens prévus par une convention liant cet Etat ou, à défaut d’une telle convention, ceux prévus par la LDIP, à moins qu’un juge suisse n’ait déjà rendu une décision concernant ces moyens (art. 81 al. 3 LP). b) En l’espèce, sous réserve de ce qui sera exposé (cf. infra consid. IV. a)), il n’est pas contesté que le litige concerne une requête de mainlevée définitive fondée sur un jugement étranger, plus précisément</w:t>
      </w:r>
    </w:p>
    <w:p>
      <w:r>
        <w:t>- 28 - rendu par une juridiction d’Afrique du Sud (The High Court of South Africa (Western Cape Division Cape Town)). Il n’est pas non plus contesté qu’il n’existe pas de convention internationale entre la Suisse et l’Afrique du Sud, de sorte que ce sont bien les dispositions de la LDIP, plus précisément les art. 25 ss, qui sont applicables. IV. a) La recourante conteste en premier lieu que la requête de mainlevée ait été accompagnée d’une attestation de l’Etat d’origine quant au caractère définitif et exécutoire du jugement ; elle soutient qu’aucune pièce n’a été produite attestant de la légitimité des pouvoirs, voire de l’existence même de la magistrate Ms Kusevitsky ayant rendu le jugement, et que l’apostille apposée ne fait état que d’un greffier chef (Chief Registrar) ; elle prétend que l’existence même d’un quelconque jugement fait défaut, faute d’intervention d’un magistrat ; elle en déduit que c’est à tort que le premier juge a retenu, dans les faits, que le jugement litigieux avait été rendu par un tribunal sud-africain ; les art. 25 let. b et 29 al. 1 let. b LDIP auraient donc été violés (recours, ch. III., pp. 8- 9 ; cf. surtout all. 23). Elle invoque en second lieu que c’est à tort que le premier juge a retenu qu’elle avait été citée régulièrement et qu’elle avait eu la possibilité de faire valoir ses moyens : a) elle conteste toute force probante à la relation de notification établie le 14 septembre 2012 par le Deputy Sheriff , au motif que l’adresse à laquelle l’acte introductif d’instance lui aurait été notifié est celle du domicile conjugal qu’elle avait quitté ; b) elle conteste également avoir mandaté les cabinets d’avocat Miller du Toit Cloete et Edward Nathan Sonnenbergs et soutient que, dès lors que l’intimé n’avait pas produit de procuration signée de sa main mandatant ces avocats, le premier juge ne pouvait pas retenir qu’elle avait procédé devant la juridiction sud-africaine sans faire de réserve sur le fond ; c) elle prétend enfin qu’aucun acte de procédure ne lui a été valablement notifié, notamment par courriel. Il y aurait à cet égard un motif de refus de reconnaissance au sens de l’art. 25 let. c et 27 al. 2 let. a LDIP (recours, ch. V., pp.11-17).</w:t>
      </w:r>
    </w:p>
    <w:p>
      <w:r>
        <w:t>- 29 - b) aa) Selon l'art. 25 LDIP, une décision étrangère est reconnue en Suisse si la décision n'est plus susceptible de recours ordinaire ou si elle est définitive (let. b), ce qui doit être documenté par une attestation (art. 29 al. 1 let. b LDIP), et s'il n'y a pas de motif de refus au sens de l'art. 27 LDIP (let. c). Aux termes de l'art. 29 al. 1 LDIP ("Procédure"), la requête en reconnaissance doit notamment être accompagnée d'une expédition complète et authentique de la décision (let. a), c'est-à-dire, selon le Tribunal fédéral, un « exemplaire original complet de la décision ou d'une copie certifiée conforme, soit d'une copie réunissant les conditions nécessaires pour prouver son authenticité » (TF 4A_600/2018 du 1er avril 2019 consid. 3.1.2 ; TF 5A_52/2013 du 25 février 2013 consid. 4.1) ; son contenu doit ainsi correspondre à celui de l'original et « présenter les caractéristiques d'une copie ou ampliation officielle » (mêmes arrêts). Toujours selon le Tribunal fédéral, il convient d'éviter tout formalisme excessif dans l'application de cette disposition ; l'attestation a en effet pour seul but de fournir, par un moyen de preuve formel, la certitude que la décision a acquis force de chose jugée ; son absence n'entraîne toutefois pas le refus de l'exequatur, s'il n'est pas contesté ou qu'il ressort des autres pièces du dossier que la décision est passée en force (TF 5A_17/2022 du 4 août 2022 consid. 3; TF 5A_712/2018 du 20 novembre 2018 consid. 2.3.2; TF 5A_344/2012 du 18 septembre 2012 consid. 4.3; TF 5P.353/1991 du 24 avril 1992 consid. 3c, non publié in ATF 118 Ia 118, mais publié in SJ 1992 p. 411). Conformément à l'art. 29 al. 3 LDIP, lorsqu'une décision étrangère est invoquée à titre préalable, l'autorité saisie peut statuer elle-même sur la reconnaissance. bb) Conformément à l'art. 27 LDIP ("Motifs de refus"), la reconnaissance d'une décision étrangère en Suisse doit être refusée si elle est manifestement incompatible avec l'ordre public suisse (al. 1) - condition qui relève du respect de l'ordre public matériel et qui a donc trait au fond du litige -, ou si elle viole certaines règles fondamentales de procédure civile énoncées exhaustivement à l'al. 2 (citation irrégulière,</w:t>
      </w:r>
    </w:p>
    <w:p>
      <w:r>
        <w:t>- 30 - violation du droit d'être entendu, litispendance et chose jugée) - condition qui ressortit à l'ordre public procédural. De façon générale, la réserve de l'ordre public doit permettre au juge de ne pas apporter la protection de la justice suisse à des situations qui heurtent de manière choquante les principes les plus essentiels de l'ordre juridique, tel qu'il est conçu en Suisse (ATF 142 III 180 consid. 3.2; 134 III 661 consid. 4.1; 126 III 534 consid. 2c; 125 III 443 consid. 3d). En tant que clause d'exception, la réserve de l'ordre public doit être interprétée de manière restrictive, spécialement en matière de reconnaissance et d'exécution des décisions étrangères, où sa portée est plus étroite que pour l'application directe du droit étranger (effet atténué de l'ordre public) ; la reconnaissance de la décision étrangère constitue la règle, dont il ne faut pas s'écarter sans de bonnes raisons (ATF 142 III 180 consid. 3.2; 126 III 101 consid. 3b, 327 consid. 2b et les arrêts cités). Une décision étrangère peut être incompatible avec l'ordre public suisse non seulement à cause de son contenu, mais également en raison de la procédure dont elle est issue (ATF 126 III 327 consid. 2b; 116 II 625 consid. 4a et les arrêts cités). cc) Aux termes de l'art. 27 al. 2 let. a LDIP, la reconnaissance doit être refusée si une partie établit qu'elle n'a été citée régulièrement ni selon le droit de son domicile, ni selon le droit de sa résidence habituelle, à moins qu'elle n'ait procédé au fond sans faire de réserve. La déclaration de force exécutoire est également soumise à cette règle (art. 28 LDIP). En outre, en vertu de l'art. 29 al. 1 let. c LDIP, en cas de jugement par défaut, la requête en reconnaissance ou en exécution adressée à l'autorité compétente doit être accompagnée d'un document officiel établissant que le défaillant a été cité régulièrement et qu'il a eu la possibilité de faire valoir ses moyens. La condition que le défendeur ait été « cité régulièrement » (gehörig geladen) vise la notification de l'acte introductif d'instance (verfahrenseinleitendes Schriftstück), par lequel le défendeur est informé de la procédure ouverte contre lui et de la possibilité de faire valoir ses moyens de défense, comme le précise expressément l'art. 29 al. 1 let. c LDIP (ATF 142 III 180 consid. 3.3.1 et les références citées). Le défendeur</w:t>
      </w:r>
    </w:p>
    <w:p>
      <w:r>
        <w:t>- 31 - est invité à procéder devant le tribunal par une première manifestation en tant que partie, que ce soit sous la forme du dépôt d'un mémoire (de réponse), d'une comparution lors d'une audience, d'une élection de domicile ou d'une autre manière lui permettant de prendre part à la suite du procès (ATF 142 III 180 consid. 3.3.1). La garantie d'une citation régulière a pour but d'assurer à chaque partie le droit de ne pas être condamnée sans avoir été mise en mesure de défendre ses intérêts ; elle concrétise le droit d'être entendu (ATF 143 III 225 consid. 5.2 ; 142 III 180 consid. 3.3.1 ; 117 Ib 347 consid. 2b/bb et les arrêts cités). La notification doit être effectuée régulièrement selon le droit de procédure applicable. L'art. 27 al. 2 let. a LDIP entend ainsi refuser la reconnaissance à un jugement étranger rendu dans une procédure menée de manière incorrecte à l'égard du défendeur (ATF 143 III 225 consid. 5.2; 142 III 180 consid. 3.3.1; 122 III 439 consid. 4b). En revanche, si le défendeur a été régulièrement informé par l'acte introductif d'instance, le jugement étranger peut être reconnu, même si le défendeur n'a pas participé à la procédure et qu'un jugement par défaut a été rendu (ATF 142 III 180 consid. 3.3.1). La notification du premier acte introductif d'instance est régulière au sens de l'art. 27 al. 2 let. a LDIP si elle est valable au regard des règles applicables dans l'Etat de domicile du destinataire (subsidiairement de sa résidence habituelle) (ATF 142 III 355 consid. 3.3; 142 III 180 consid. 3.3). La disposition précitée institue une exception, que le défendeur à la procédure de reconnaissance et d'exécution doit soulever et prouver. L’art. 29 al. 1 let. c LDIP renforce, en cas de jugement par défaut, les exigences de preuve et renverse le fardeau de la preuve. Dans ce cas, le demandeur à la reconnaissance supporte le fardeau de la preuve : il doit prouver que l'acte introductif d'instance a été notifié régulièrement et en temps utile au défendeur défaillant ; en outre, il doit apporter cette preuve par titres. Pour ce faire, il lui incombe de produire un exemplaire de l'acte introductif d'instance, ainsi que l'attestation de notification de l'autorité compétente du domicile du défendeur défaillant (ATF 142 III 180 consid. 3.4 ; TF 5A_413/2022 du 9 janvier 2023 consid. 4.2.2).</w:t>
      </w:r>
    </w:p>
    <w:p>
      <w:r>
        <w:t>- 32 - Selon l’art. 27 al. 2 let. a LDIP, le défendeur qui a procédé au fond sans faire de réserve est privé du droit de contester la régularité de la notification (ATF 142 III 355 consid. 3.3.2 ; Dutoit/Bonomi, Droit international privé, Commentaire de la LDIP, 6e éd. 2022, n. 9 ad art. 27 LDIP p. 168). Tel est le cas de la partie qui acquiesce à une demande de divorce (TF 5A_413/2022 du 9 janvier 2023 consid. 4.3). c) aa) En l’espèce, le jugement dont l’intimé requiert à titre incident la reconnaissance est un jugement de la « High Court of South Africa (Western Cape Division Cape Town) » du 17 mai 2018, condamnant la recourante à payer à l’intimé un montant de 70'394 euros plus intérêts à 10,5 % l’an depuis la date de la demande dans la cause no 17864/12 qui les divise. Il a été produit en copie par l’intimé avec sa requête sous pièce</w:t>
      </w:r>
    </w:p>
    <w:p>
      <w:r>
        <w:rPr>
          <w:b/>
        </w:rPr>
        <w:t>E. 25</w:t>
      </w:r>
    </w:p>
    <w:p>
      <w:r>
        <w:t>En outre, une copie de ce jugement, certifiée conforme par le Greffier en chef de la Haute Cour le 13 décembre 2019, munie le 20 août 2020 d’une apostille conformément à la Convention Apostille signée par ce même greffier, a été produite sous pièce 29. Enfin, sous pièce 28, l’intimé a également produit un document, intitulé « CERTIFIED COPY OF JUDGMENT » dans la cause no 17864/12 qui dispose que la recourante, en tant que défenderesse, doit à l’intimé, demandeur, un montant de 70'394 euros plus intérêts à 10,5 % l’an depuis la date de la demande ; sur ce document figure le timbre humide et la signature du même Greffier en chef de la Haute Cour, avec la date du 18 août 2020 ; il est également muni d’une apostille conformément à la Convention Apostille établie par le même Greffier en chef de la Haute Cour. C’est en vain que la recourante essaie de mettre en doute la qualité de jugement du document invoqué par l’intimé à l’appui de sa requête de mainlevée définitive, dont elle ne conteste pas qu’il l’oblige à payer 70'394 euros à l’intimé. Ce faisant, elle perd de vue que, dès lors que l’Etat d’origine - en l’occurrence l’Afrique du Sud - a émis un certificat en vertu de l’art. 3 (1) de la Convention Apostille, cela signifie que celui-ci a considéré que le document en cause était un acte public établi par une autorité agissant à titre officiel au sens de l’art. 1 (2) de ladite Convention,</w:t>
      </w:r>
    </w:p>
    <w:p>
      <w:r>
        <w:t>- 33 - d’une part, et que c’est le droit d’origine qui détermine la nature publique de l’acte, d’autre part (Conférence de la Haye de droit international privé, Manuel Apostille, Manuel pratique sur le fonctionnement de la Convention Apostille, p. 15 et 53 ; https://www.hcch.net/fr/publications-and- studies/details4/?pid=5888). Il s’agit plus précisément de « documents qui émanent d’une autorité ou d’un fonctionnaire relevant d’une juridiction de l’Etat » au sens de l’art. 1 (2) (a) de cette convention, puisque ceux-ci comprennent « ceux qui émanent du ministère public, d’un greffier ou d’un huissier de justice » (art. 1 (2) (a) Convention Apostille). Il n'est ainsi pas douteux que les actes en cause, produits sous pièces 28 et 29 et attachés aux deux apostilles par le Greffier en chef, sont des actes publics émanant de la Haute Cour de Cape Town. Le fait que ces actes soient des copies n’y changent rien. Ces copies sont d’ailleurs certifiées conformes aux originaux. C’est à raison que, dans son acte de recours, la recourante n’essaie plus de remettre en doute la qualité de Greffier en chef de la Haute Cour de Cape Town de Ruanne Mashenthree David, signataire des apostilles et des documents qui y sont attachés par une allonge ; elle l’avait fait dans sa réponse, et avait produit à cet effet la pièce 101 ; or, il ressort de cette pièce que cette personne est bien « Registrar of The High Court », pour la province de Cape Town (pièce 101, p. 1). Dans ces conditions, il n’y a pas de motif de douter que la signataire des apostilles, et des actes qui y étaient attachés par une allonge, et sur lesquels des timbres ont été apposés, avait la qualité de greffière de la Haute Cour. De toute manière, dès lors que l’art. 5 (3) de la Convention Apostille dispose que la signature, le sceau ou le timbre qui figurent sur l’apostille sont dispensés de toute attestation, il faut partir du principe que l’apposition de l’apostille suffit à attester de la véracité de la signature, de la qualité en laquelle le signataire des actes a agi, et le cas échéant, de l’identité des sceaux et timbres dont ces actes sont revêtus (cf. aussi art. 3 et 4 de la Convention Apostille). Pour le surplus, la recourante se livre à une exégèse des termes de certaines des décisions apostillées, notamment au regard du</w:t>
      </w:r>
    </w:p>
    <w:p>
      <w:r>
        <w:t>- 34 - fait que celles-ci portent la mention « Draft » biffée, avec le paraphe et/ou la signature du Greffier, pour remettre en cause leur qualité de décision judiciaire. Elle n’essaie toutefois pas d’établir, ni a fortiori n’établit que, selon le droit de l’Etat d’origine, il ne s’agit pas d’actes publics émanant de la juridiction de cet Etat au sens de l’art. 1 (2) de la Convention Apostille, et que c’est par conséquent à tort que le greffier de la Haute Cour les a considérés comme tels et leur a appliqué cette convention. Dans ces conditions, il n’appartient pas à la cour de céans de déterminer si, comme le prétend l’intimé, il est fréquent que, dans le pays d’origine, les avocats préparent des projets de jugements qu’ils soumettent aux juges et que, si ceux-ci s’estiment convaincus, ils biffent le mot « Draft » en apposant leur signature à côté de ce mot. Mal fondé, le premier argument de la recourante doit être rejeté. En conclusion, c’est à raison que le premier juge a considéré que l’intimé avait satisfait aux exigences de l’art. 29 al. 1 let. a LDIP. Pour le surplus, il y a lieu de constater que la recourante ne fait pas valoir que l’intimé n’aurait pas produit une attestation constatant que le jugement dont il se prévaut n’était plus susceptible de recours et était définitif, au sens de l’art. 29 al. 1 let. b LDIP. Cette attestation figure au demeurant dans le premier acte public attaché à l’apostille produite sous pièce 29, de sorte qu’il faut en conclure que l’intimé a également satisfait aux exigences de cette disposition. bb) aaa) En l’espèce, l’intimé a produit avec sa requête de mainlevée une série de documents, dont certains apostillés, dont le premier juge a déduit que l’acte introductif d’instance avait été notifié à la recourante. Il s’agissait en substance d’un document intitulé « COMBINED SUMMONS » du 14 septembre 2012 par lequel le Greffier de la Haute Cour invitait le shérif ou son adjoint dans la cause no 17864/12 opposant les parties à informer la recourante, défenderesse, de l’action ouverte contre elle par l’intimé, demandeur, ainsi que, notamment, du délai de dix jours dont elle disposait pour communiquer à la Cour son intention de se</w:t>
      </w:r>
    </w:p>
    <w:p>
      <w:r>
        <w:t>- 35 - défendre et une adresse de notification des actes (cf. pièce 4), et d’une relation de notification intitulée « RETURN OF SERVICE » établie le même jour par le shérif, par laquelle celui-ci attestait avoir remis personnellement à la poursuivie (Upon defendant personnally), à l’adresse « [...]», l’acte introductif d’instance et ses annexes, d’une part, et lui avoir exposé la nature et le contenu de celui-ci, d’autre part (cf. pièce 5). Une copie de cette relation de notification a été munie d’une apostille par le Greffier en chef de la Haute Cour le 20 août 2020 (pièce 29). L’intimé a également produit une copie d’une attestation établie le 13 décembre 2019 par le Greffier en chef de la Haute Cour, certifiant que l’intimé avait ouvert action contre la recourante par demande du 14 septembre 2012 et que cette demande avait été notifiée le même jour à la poursuivie, en conformité avec le droit sud-africain ; cette copie a également été munie d’une apostille par le Greffier en chef de la Haute Cour le 20 août 2020 (pièce 29). Pour toute motivation, la recourante, comme elle l’a fait pour le jugement litigieux, conteste la véracité des documents précités et, ainsi, leur force probante. Toutefois, elle perd de vue que, comme dit plus haut, la copie de la relation de notification du shérif du 14 septembre 2012 et la copie de l’attestation du 13 décembre 2019 du Greffier en chef sont munis d’une apostille du 20 août 2020 au sens de la Convention Apostille. Dans ces conditions, il n’existe aucun motif de douter de la véracité de leur contenu. En outre, le premier juge a écarté les arguments de la recourante, tirés du lieu de notification ou de l’absence d’un accusé de réception signé de sa main, et la recourante se contente de reprendre ceux-ci, sans essayer de prendre appui sur les motifs du premier juge, ce qui n’est pas recevable au regard des exigences de motivation de l’art. 321 al. 1 CPC (ATF 147 III 176 consid. 4.2.1). Au demeurant, il ressort de l’attestation établie le 13 décembre 2019 par le Greffier en chef de la Haute Cour, munie d’une apostille conformément à la Convention Apostille (cf. pièce 29), que celle-ci s’est estimée compétente pour statuer car « les deux époux étaient domiciliés dans son ressort au moment de la demande ». En outre, et surtout, la recourante perd de vue que, dans sa réponse à la demande, elle a elle-même allégué – dans sa détermination</w:t>
      </w:r>
    </w:p>
    <w:p>
      <w:r>
        <w:t>- 36 - sur l’allégué 2 de la demande – qu’elle était domiciliée « [...] » (cf. pièce 7, p. 2 « ad paragraph 2 »), soit là où le shérif a attesté lui avoir notifié la demande et ses annexes. Elle est donc mal venue de prétendre qu’à la date de la notification, elle n’était pas domiciliée en Afrique du Sud. En outre, la recourante ne conteste pas le raisonnement du premier juge, reposant sur la conformité avec le droit sud-africain de la notification en mains propres de l’acte introductif d’instance qui a eu lieu en l’espèce, et sur le fait que, toujours selon ce droit, lorsque l’acte est notifié par le shérif la preuve de la notification résulte du procès-verbal de notification établi par ledit shérif, ce qui est corroboré par l’attestation établie le 13 décembre 2019 par le Greffier en chef de la Haute Cour, qui a été munie d’une apostille. C’est ainsi à tort que la recourante conteste toute force probante à la relation de notification établie le 14 septembre 2012 par le Deputy Sheriff, certifiée par une apostille du Greffier en chef. Il faut en déduire que l’acte introductif d’instance et ses annexes lui ont bien été remis en mains propres et que les informations que ledit shérif devait lui donner d’après le « COMBINED SUMMONS » délivré par le juge de la Haute Cour le même jour lui ont bien été données (invitation à indiquer dans les dix jours si elle souhaitait procéder et à communiquer une adresse de notification des actes et informations sur les suites possibles de la procédure, en fonction de sa réponse, notamment si elle entendait soumettre au greffe une notification d’intention de défendre dans les vingt jours). En outre, il s’agissait bien de l’acte introductif d’instance, puisque la demande de divorce intitulée « PLAINTIFF’S PARTICULAR OF CLAIM » qui a été notifiée mentionnait aussi bien dans ses allégués de fait (cf. chiffre 7) que dans ses conclusions (let. g et e) la prétention pécuniaire qui a été jugée le 17 mai 2018 par la Haute Cour (pièce 1). bbb) De toute manière, comme l’a retenu à juste titre le premier juge, la recourante a procédé sur le fond sans faire de réserve, par l’intermédiaire de deux cabinets d’avocat. Elle a répondu à l’acte introductif d’instance en déposant auprès de la Haute Cour, par le cabinet d’avocats Miller du Toit Cloete Inc, sis à Cape Town, une notification</w:t>
      </w:r>
    </w:p>
    <w:p>
      <w:r>
        <w:t>- 37 - d’intention de défendre (« NOTICE OF INTENTION TO DEFEND ») dans la cause no 17864/12 la divisant d’avec l’intimé, que la Haute Cour a reçue le 28 septembre 2012 (cf. pièce 6, copie certifiée conforme) ; elle a déposé une réponse (« DEFENDANT’S PLEA TO PLAINTIFF’S PARTICULAR OF CLAIM »), par ces mêmes avocats, dans laquelle elle se détermine sur chacun des allégués de la demande, notamment sur son domicile, le contrat prénuptial conclu entre les parties, le caractère irrémédiable de la rupture du lien conjugal (qu’elle a admis, tout en contestant les raisons avancées par le demandeur ; cf. détermination ad all. 6.5), et sur les dettes invoquées par le demandeur, notamment en relation avec le prêt invoqué par celui-ci (cf. détermination ad all. 7) (cf. pièce 7, copie certifiée conforme). Puis, ce cabinet d’avocats a informé officiellement la Haute Cour, le 14 avril 2016, par une « NOTICE OF WITHDRAWAL AS ATTORNEYS OF RECORD », qu’il avait résilié le mandat de conseil de la recourante (cf. pièce 8/BJ1, copie certifiée conforme). Enfin, dans son attestation du 13 décembre 2019, munie d’une apostille, le Greffier en chef de la Haute Cour a certifié que la recourante avait « notifié son intention de comparaître et de se défendre » dans le dossier 17854/12 ayant abouti au jugement du 17 mai 2018 (pièce 29). Certes, la recourante prétend qu’il est arbitraire d’en déduire qu’elle a procédé devant la Haute Cour, et que, pour établir ce fait, l’intimé aurait dû produire une procuration par laquelle elle a donné pouvoir à ce cabinet d’avocats de la représenter (cf. recours, all. 39, p. 13). On peut se demander si, en soutenant implicitement que tous les documents produits dans la procédure par l’intimé sont des faux et que le cabinet d’avocats qui la représentait dans la procédure a agi sans pouvoirs quand il a déposé une réponse se prononçant sur des éléments aussi personnels que la rupture du lien conjugal, l’existence d’un contrat prénuptial ou d’un prêt, la recourante ne contrevient pas au principe de la bonne foi (art. 2 al. 1 CC [Code civil ; RS 210]), qui est un principe fondamental de l’ordre juridique suisse (art. 5 al. 3 Cst.). Toutefois, quoi qu’il en soit, la recourante ne démontre aucunement que la déduction faite par le premier juge de l’ensemble de ces pièces serait arbitraire. Au</w:t>
      </w:r>
    </w:p>
    <w:p>
      <w:r>
        <w:t>- 38 - contraire, il ressort indubitablement de celles-ci que la recourante a procédé sur le fond sans faire de réserve. Le même constat doit être fait s’agissant de la procédure ayant suivi la résiliation du mandat par Miller du Toit Cloete Inc. La recourante, continuant à procéder par affirmations sans essayer de prendre appui sur le raisonnement opéré par le premier juge, prétend que le jugement de divorce ne renvoyait pas les prétentions pécuniaires à un jugement ultérieur (cf. all. 40 à 44). Or, ce faisant, elle se borne à énoncer sa propre version des faits, sans essayer de démontrer que le raisonnement du premier juge, fondé sur les pièces produites par l’intimé, consacrerait une constatation manifestement inexacte des faits, au sens de l’art. 320 let. b CPC. Un tel procédé est irrecevable. Au demeurant, si un jugement de divorce a été rendu le 6 septembre 2017 entre les parties dans la cause no 17864/12 par le juge Binns-Ward de la Haute Cour, celui- ci ne prononçait que la dissolution des liens du mariage, selon l’exemplaire du jugement apostillé figurant sous pièce 29, sans statuer sur les prétentions pécuniaires du demandeur ; en outre, il ressort des pièces produites que la cause no 17864/12 s’est poursuivie après la reddition dudit jugement sur les prétentions pécuniaires du poursuivant qui n’avaient pas été tranchées : ainsi, selon une décision rendue le 6 septembre 2017 par le même juge Binns-Ward, le solde des prétentions du poursuivant étaient reportées à un jugement séparé « sine die » (pièce 22, « BJ2 ») ; de plus, la recourante a procédé sans faire de réserve sur ces prétentions séparées, par le cabinet Edward Nathan Sonnenbergs qui, d’abord a annoncé à la Haute Cour le 7 novembre 2017 qu’il était mandaté et que la recourante s’opposait à la reddition d’un jugement par défaut (cf. «NOTICE OF APPOINTMENT AS ATTORNEYS OF RECORD » ; pièce 18), puis après avoir participé à des discussions amiables par son conseil Cecil Gelbart en décembre 2017 (cf. pièce 20), a informé la Haute Cour le 12 janvier 2018 qu’il n’était plus le conseil de la recourante, et que l’attention de celle-ci avait été attirée sur le fait qu’elle devait fournir une adresse dans les dix jours (cf. « NOTICE OF WITHDRAWAL IN TERMS OF RULE 16 (4) » ; pièce 21). Certes, là encore, la recourante conteste avoir mandaté le cabinet Edward Nathan Sonnenbergs et prétend de manière</w:t>
      </w:r>
    </w:p>
    <w:p>
      <w:r>
        <w:t>- 39 - générale que la notification des actes qui a eu lieu par voie électronique n’était pas valable. Si elle invoque l’arbitraire, y compris dans le résultat, elle ne cherche toutefois pas à établir que la déduction faite par le premier juge, fondée sur les pièces au dossier, en particulier sur les pièces émanant du cabinet Edward Nathan Sonnenbergs et sur la décision de la Haute Cour autorisant le poursuivant, dans la cause no 17864/12, à notifier à la poursuivie les actes de procédure par voie électronique, consacrerait une constatation manifestement inexacte des faits au sens de l’art. 320 let. b CPC. Au demeurant, la recourante n’établit pas que, dans les dix jours dès la révocation par le cabinet Edward Nathan Sonnenbergs de son mandat, elle aurait fourni une adresse de notification. ccc) Au vu de ce qui précède, c’est à raison que le premier juge a considéré que la reconnaissance du jugement dont l’exécution était demandée ne devait pas être refusée sur la base de l’art. 27 al. 2 let. a LDIP. d) En conclusion, c’est à raison que le premier juge a dit que le jugement étranger dont l’exécution était demandée pouvait être reconnu en Suisse. Les moyens invoqués par la recourante au sens de l’art. 81 al. 3 LP n’étant pas pertinents, et celle-ci n’invoquant pas d’autres moyens fondés sur les art. 80 ou 81 al. 1 LP, il faut en déduire que c’est également à raison que le premier juge a prononcé la mainlevée définitive de l’opposition à concurrence du montant en poursuite, en capital et intérêts. V. a) La recourante invoque une violation de l’art. 73 al. 2 LP. Elle soutient qu’elle avait invoqué cette violation en première instance et que le premier juge ne s’est pas déterminé sur cet argument. Il y aurait ainsi un déni de justice. Il se justifierait pour ce motif de ne pas mettre les frais à sa charge, même si le prononcé attaqué devait être confirmé. b) aa) L'autorité qui ne traite pas un grief relevant de sa compétence, motivé de façon suffisante et pertinent pour l'issue du litige,</w:t>
      </w:r>
    </w:p>
    <w:p>
      <w:r>
        <w:t>- 40 - commet un déni de justice formel proscrit par l'art. 29 al. 1 Cst. (ATF 142 II 154 consid. 4.2; 135 I 6 consid. 2.1). bb) Aux termes de l’art. 73 al. 1 LP, à partir du moment où la poursuite a été engagée, le débiteur peut demander en tout temps que le créancier soit sommé de présenter à l’office les moyens de preuve afférents à sa créance et une récapitulation de tous ses droits à l’égard du débiteur. Cette disposition ne précise pas le délai que l’office des poursuites doit fixer au créancier. Dans la loi en vigueur avant le 1er janvier 2019, le créancier devait s’exécuter dans le délai d’opposition de dix jours. Dans la mesure où la demande du débiteur est présentée pendant le délai d’opposition, il convient de s’en tenir à cette règle dans la pratique (Wüthrich/Schoch, in: Staehelin/Bauer/Lorandi (éd.), Basler Kommentar SchKG I, n. 6a ad art. 73 SchKG). Selon l’art. 73 al. 2 LP, les délais continuent à courir nonobstant la sommation ; si le créancier n’obtempère pas ou n’obtempère pas en temps utile, le juge tiendra compte, lors de la décision relative aux frais de procédure dans un litige ultérieur, du fait que le débiteur n’a pas pu prendre connaissance des moyens de preuve. Le juge ne pourra le faire que si le créancier obtient au moins partiellement gain de cause dans ce litige. Dans le cas contraire, les frais sont de toute manière à sa charge (Declerq, Introduction à la procédure de poursuite pour dettes, Zurich 2023, no 492 p. 156). La présentation par le créancier de copies des moyens de preuve est suffisante. L’office ne peut pas remettre les moyens de preuve déposés au débiteur. Le droit du débiteur se limite à la consultation. Il peut tout au plus demander l’établissement d’une copie. Les moyens de preuve déposés restent à l’office (Declerq, ibidem; Wüthrich/Schoch, op. cit., n. 9 ad art. 73 SchKG). c) En l’espèce, dans la réponse qu’elle a adressée au premier juge le 23 janvier 2023, la recourante a allégué dans la partie « Faits » de son acte (cf. pp. 9-18) des faits en relation avec une demande qu’elle a</w:t>
      </w:r>
    </w:p>
    <w:p>
      <w:r>
        <w:t>- 41 - formulée auprès de l’office des poursuites et la suite que le poursuivi y a donnée (cf. réponse, allégués 120 ss). Dans la partie « Droit » de ce même acte, elle n’a toutefois pas développé de moyen en relation avec ces faits. Dans ces conditions, faute de grief motivé de façon suffisante, le premier juge n’a pas commis de déni de justice formel en ne procédant à aucun développement au sujet de l’art. 73 LP. De toute manière, même s’il fallait admettre que la recourante a pu formuler de manière admissible un grief juridique dans la partie factuelle de son écriture, ce grief devrait être rejeté. En effet, le poursuivant, par son conseil, a répondu le 24 juin 2022 à la sommation de l’office du 17 juin précédent en indiquant que la poursuite se rapportait « au jugement du Tribunal de Cape Town du 17 mai 2018 prononcé à l’encontre de la débitrice, connu de cette dernière puisqu’il lui a été dûment notifié et aujourd’hui entré en force » (cf. pièce 104 produite à l’appui de ladite réponse). Il faut ainsi admettre que le poursuivant a répondu à la sommation de l’office en temps utile et que la recourante a ainsi pu être renseignée. Il ne ressort par ailleurs pas de l’état de fait, ni du dossier, que la recourante a ensuite requis de l’office des poursuites de pouvoir consulter le moyen de preuve et que cette consultation n’a pas été possible. Le moyen doit donc être rejeté. VI. Vu ce qui précède, le recours doit être entièrement rejeté, dans la mesure où il est recevable, et le prononcé attaqué confirmé. Les frais judiciaires de deuxième instance, arrêtés à 720 fr., sont mis à la charge de la recourante, qui succombe (art. 106 al. 1 CPC). L’intimé a droit à des dépens de deuxième instance, à la charge de la recourante (art. 111 al. 2 CPC), qu’il convient de fixer à 3'000 fr. (art. 3 et 8 TDC [tarif des dépens en matière civile ; BLV 270.11.6]).</w:t>
      </w:r>
    </w:p>
    <w:p>
      <w:r>
        <w:t>- 42 -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