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KC22.040389 vom 23. Oktober 2023</w:t>
      </w:r>
    </w:p>
    <w:p>
      <w:r>
        <w:t>VD Tribunal cantonal, 2023-10-23, FR</w:t>
      </w:r>
    </w:p>
    <w:p>
      <w:r>
        <w:rPr>
          <w:b/>
        </w:rPr>
        <w:t xml:space="preserve">Quelle: </w:t>
      </w:r>
      <w:r>
        <w:t>https://mcp.opencaselaw.ch/entscheid/vd_gerichte_KC22.040389</w:t>
      </w:r>
    </w:p>
    <w:p>
      <w:r>
        <w:t>FR: VD_GERICHTE KC22.040389 du 23 octobre 2023</w:t>
      </w:r>
    </w:p>
    <w:p>
      <w:r>
        <w:t>IT: VD_GERICHTE KC22.040389 del 23 ottobre 2023</w:t>
      </w:r>
    </w:p>
    <w:p>
      <w:pPr>
        <w:pStyle w:val="Heading2"/>
      </w:pPr>
      <w:r>
        <w:t>Erwägungen</w:t>
      </w:r>
    </w:p>
    <w:p>
      <w:r>
        <w:rPr>
          <w:b/>
        </w:rPr>
        <w:t>E. 2</w:t>
      </w:r>
    </w:p>
    <w:p>
      <w:r>
        <w:t>Par acte du 8 septembre 2022, les poursuivants ont requis du Juge de paix du district de Lausanne qu’il prononce, avec suite de frais et dépens, la mainlevée définitive de l’opposition. A l’appui de leur requête, ils ont produit outre le commandement de payer susmentionné, les pièces suivantes : - une copie certifiée conforme d’un arrêt de la Cour d’appel civile du Tribunal cantonal de la République et Canton de Neuchâtel du 7 juillet 2021 dans la cause divisant la poursuivie et les poursuivants, ainsi que cinquante-huit consorts, rejetant notamment le recours de la poursuivie contre un jugement rendu le 4 février 2021 par le Tribunal civil du Littoral et du Val-de-Travers et admettant partiellement le recours d’autres consorts ; - une attestation du greffier du Tribunal cantonal de la République et Canton de Neuchâtel du 15 août 2022 attestant l’entrée en force de l’arrêt susmentionné. b) Par courrier recommandé du 10 octobre 2022, le juge de paix a notifié la requête à la poursuivie et lui a imparti un délai échéant le 10 novembre 2022 pour se déterminer.</w:t>
      </w:r>
    </w:p>
    <w:p>
      <w:r>
        <w:t>- 4 - Par courrier du 10 novembre 2022, le conseil de la poursuivie, invoquant une importante charge de travail, a requis la prolongation au 25 novembre 2022 du délai de déterminations, prolongation accordée par décision du juge de paix du 11 novembre 2022, qui a en outre requis dudit conseil la production d’une procuration. Le 25 novembre 2022, le conseil de la poursuivie a sollicité une nouvelle prolongation du délai de déterminations au 9 décembre 2022 en invoquant une surcharge de travail et l’entame de pourparlers transactionnels. Le juge de paix lui a alors octroyé une ultime prolongation à cette date. Le 9 décembre 2022, invoquant les mêmes motifs, le conseil de la poursuivie a sollicité une nouvelle prolongation du délai de déterminations au 14 décembre 2022, prolongation accordée par décision du juge de paix du 12 décembre 2022, également pour la production d’une procuration. Le 14 décembre 2022, le conseil de la poursuivie a déposé les déterminations suivantes : « (…) Dans le délai que vous m’avez aimablement prolongé, je dois constater que la requise n’a pas d’autres observation à formuler, hormis le fait de vérifier si les requérants ont déposé l’original du commandement de payer, tout en précisant que la requise fera valoir, en procédure, des créances en compensation. » Par courrier du 28 décembre 2022, le juge de paix a imparti au conseil de la poursuivie un délai échéant le 16 janvier 2023 pour produire la procuration requise les 11 et 28 novembre et 12 décembre 2022, faute de quoi il ne serait pas tenu compte de ses écritures. Le 12 janvier 2023, le conseil de la poursuivie a produit une procuration.</w:t>
      </w:r>
    </w:p>
    <w:p>
      <w:r>
        <w:t>- 5 -</w:t>
      </w:r>
    </w:p>
    <w:p>
      <w:r>
        <w:rPr>
          <w:b/>
        </w:rPr>
        <w:t>E. 2.1</w:t>
      </w:r>
    </w:p>
    <w:p>
      <w:r>
        <w:t>Selon la jurisprudence, la décision sur la répartition des frais relève du pouvoir d'appréciation du juge. En conséquence, l'instance cantonale supérieure n'en revoit l'exercice qu'avec retenue. Elle ne peut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(TF 5A_140/2019 du 5 juillet 2019 consid. 5.1.3).</w:t>
      </w:r>
    </w:p>
    <w:p>
      <w:r>
        <w:rPr>
          <w:b/>
        </w:rPr>
        <w:t>E. 2.2.1</w:t>
      </w:r>
    </w:p>
    <w:p>
      <w:r>
        <w:t>Les dépens sont une indemnité de procédure mise à la charge d’un plaideur en faveur de l’autre pour le dédommager des dépenses ou du manque à gagner occasionné par le procès (Tappy, in Bohnet et alii (éd.), Commentaire Romand, Code de procédure civile, 2e éd. Bâle 2019, [ci-après : CR-CPC], n. 21 ad art. 95 CPC). Selon l’art. 95 al. 3 CPC, ils comprennent les débours nécessaires (let. a), le défraiement d’un mandataire professionnel (let. b) et, lorsqu’une partie n’a pas de représentant professionnel, une indemnité équitable pour les démarches</w:t>
      </w:r>
    </w:p>
    <w:p>
      <w:r>
        <w:t>- 9 - effectuées, dans les cas où cela se justifie (let. c). Le défraiement d’un représentant professionnel, au sens de l’art. 95 al. 3 let. b CPC, vise essentiellement les frais d’avocat (ou d’agent d’affaires breveté, réd.). Les dépens alloués à ce titre doivent en principe couvrir l’entier des frais liés à la consultation d’un avocat (respectivement d’un agent d’affaires breveté, réd.) (Tappy, CR-CPC, n. 30 ad art. 95 CPC). Les dépens sont fixés selon un tarif édicté par le Tribunal cantonal (art. 105 al. 2 CPC ; tarif des dépens en matière civile du 23 novembre 2010 [TDC ; BLV 270.11.6]), conformément à l’art. 96 CPC. Ils comprennent le défraiement d'un représentant professionnel (art. 95 al. 3 CPC), ainsi que les débours nécessaires, estimés en principe à 5% du défraiement du représentant professionnel en première instance (art. 19 al. 2 TDC). Aux termes de l'art. 3 al. 2 TDC, dans les contestations portant sur des affaires patrimoniales, le défraiement est fixé, selon le type de procédure et dans les limites des tableaux figurant aux articles 4 à 8 et 10 à 13 de ce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et se fonde, en règle générale, sur le tarif horaire moyen usuellement admis, réduit de 15% dans les causes dont la valeur litigieuse ne dépasse pas 30'000 francs et augmenté de manière adéquate dans les causes dont la valeur litigieuse est supérieure à 300'000 francs. Les fourchettes prévues pour le défraiement du mandataire ont été fixées dans l'optique de permettre la pleine indemnisation de la partie qui obtient gain de cause, sans toutefois tomber dans des tarifs excessifs, et pour laisser au juge saisi le pouvoir d'appréciation dont il dispose (Rapport explicatif du Tribunal cantonal du canton de Vaud sur le nouveau TDC, pp. 2 et 3).</w:t>
      </w:r>
    </w:p>
    <w:p>
      <w:r>
        <w:rPr>
          <w:b/>
        </w:rPr>
        <w:t>E. 2.2.2</w:t>
      </w:r>
    </w:p>
    <w:p>
      <w:r>
        <w:t>L'art. 6 TDC prévoit, pour le défraiement de l’avocat en matière de procédure sommaire, un montant de dépens oscillant entre 1’000 et 3’000 fr. lorsque, comme en l'espèce, la valeur litigieuse en première instance est comprise entre 10'001 fr. et 30'000 francs.</w:t>
      </w:r>
    </w:p>
    <w:p>
      <w:r>
        <w:t>- 10 - En application de l’art. 20 al. 2 TDC, lorsqu'il y a une disproportion manifeste entre la valeur litigieuse et l'intérêt des parties au procès ou entre le taux applicable selon le présent tarif et le travail effectif de l'avocat ou de l'agent d'affaires breveté, la juridiction peut fixer des dépens inférieurs au taux minimum. Cette dernière disposition est reprise de l’art. 8 al. 2 du Règlement du 31 mars 2006 sur les dépens alloués à la partie adverse et sur l’indemnité pour la représentation d’office dans les causes portées devant le Tribunal fédéral (Rapport explicatif sur le nouveau tarif des dépens en matière civile, p. 12 ad art. 20 ; TF 4C_1/2011 consid. 5). La jurisprudence relative à cet article retient peu de situations justifiant une réduction des dépens. Elle relève en particulier trois cas, le premier étant celui de l’intimé qui n’a fait que déposer une écriture « très succincte » ou « succincte » (TF 4A_634/2011 consid. 4 ; TF 4A_349/2011 consid. 4 ; TF 4A_472/2010 consid. 5), le second se réalisant lorsqu’un même mandataire est impliqué dans plusieurs procédures parallèles portant sur le même état de fait ou opposant les mêmes parties, le temps consacré à chacune de ces procédures se trouvant dès lors diminué (TF 4A_93/2010 consid. 4 ; TF 4D_65/2009 consid. 2 ; TF 4D_66/2009 consid. 2) et le troisième quand la procédure ne porte pas sur le fond mais sur un incident ou des questions procédurales limitées (TF 4A_239/2013 consid. 4 ; TF 4A_546/2013 consid. 4). La cour de céans a appliqué les mêmes principes (cf. par ex. CPF 3 août 2021/149 ; CPF 2 septembre 2020/236 et les arrêts cités ; CPF 15 août 2019/180). Elle a par ailleurs jugé qu’il fallait déduire de l’emploi de l’adjectif « manifeste » que l’on devait en principe s’en tenir aux barèmes fixés et que l’on ne pouvait s’en écarter, dans l’hypothèse envisagée à l’art. 20 al. 2 TDC, que si la disproportion est évidente, l’application de cette disposition devant rester l’exception (CPF 9 décembre 2016/376-377).</w:t>
      </w:r>
    </w:p>
    <w:p>
      <w:r>
        <w:rPr>
          <w:b/>
        </w:rPr>
        <w:t>E. 2.2.3</w:t>
      </w:r>
    </w:p>
    <w:p>
      <w:r>
        <w:t>Selon l’art. 105 al. 2 CPC, également repris à l’art. 3 al. 5 TDC, les parties peuvent produire une liste de frais. Il n’existe aucun devoir du juge de requérir de la partie une telle liste de frais avant de statuer sur les</w:t>
      </w:r>
    </w:p>
    <w:p>
      <w:r>
        <w:t>- 11 - dépens (TF 5A_749/2019 du 15 novembre 2019 consid. 3.3 ; TF 5A_457/2019 du 13 mars 2020 consid. 3.4.2). Si les parties ne déposent pas de liste de frais, le tribunal fixe les dépens en fonction de son pouvoir d’appréciation et sur la base du tarif (ATF 140 III 444 consid. 3.2.2). Le juge n’est pas lié par les listes produites et reste libre d’estimer l’étendue des opérations nécessaires (CREC 7 mars 2023/52 consid. 3.2.3 ; CREC 9 août 2021/217 consid. 3.1.2 ; CREC 28 juin 2013/227 consid. 3a).</w:t>
      </w:r>
    </w:p>
    <w:p>
      <w:r>
        <w:rPr>
          <w:b/>
        </w:rPr>
        <w:t>E. 2.3.1</w:t>
      </w:r>
    </w:p>
    <w:p>
      <w:r>
        <w:t>En l’occurrence, la valeur litigieuse était en première instance de 12'975 francs. Les dépens alloués, par 1'000 fr., sont situés à la limite inférieure de la fourchette prévue à l’art. 6 TDC, comprise entre 1'000 et 3’000 francs. Il ressort par ailleurs de la décision attaquée que le premier juge paraît avoir pris en compte la fourchette prévue à l’art. 5 TDC, applicable aux contestations pécuniaires en procédure simplifiée - ayant considéré que les dépens devraient être fixés à 1'500 fr. mais les ayant réduits pour tenir compte du travail effectué - alors que la cause ici litigieuse, soit une procédure de mainlevée d’opposition, relève de la procédure sommaire pour laquelle l’article 6 TDC est applicable.</w:t>
      </w:r>
    </w:p>
    <w:p>
      <w:r>
        <w:rPr>
          <w:b/>
        </w:rPr>
        <w:t>E. 2.3.2</w:t>
      </w:r>
    </w:p>
    <w:p>
      <w:r>
        <w:t>La critique des recourants porte plus précisément sur la disproportion entre le barème applicable et le travail effectivement presté par le conseil de l’intimée dans cette procédure, soit relève de l’art. 20 al. 2 TDC. Les recourants relèvent que le montant alloué correspond, au tarif usuel de 350 fr. de l’heure réduit de 15% en fonction de la valeur litigieuse, à trois heures de travail d’avocat, ce qu’ils jugent excessif eu égard au travail accompli, qui a consisté en des déterminations de quatre lignes en date du 14 décembre 2022, eu égard par ailleurs à la connaissance préalable du litige (le mandataire serait intervenu sur le fond et dans d’autres procédures parallèles). Ils apprécient le temps</w:t>
      </w:r>
    </w:p>
    <w:p>
      <w:r>
        <w:t>- 12 - effectivement consacré à ces déterminations par le conseil adverse à 15 minutes, justifiant l’allocation de 74 fr. 37 à titre de dépens.</w:t>
      </w:r>
    </w:p>
    <w:p>
      <w:r>
        <w:rPr>
          <w:b/>
        </w:rPr>
        <w:t>E. 2.3.3</w:t>
      </w:r>
    </w:p>
    <w:p>
      <w:r>
        <w:t>a) En l’occurrence, Me Zilla, conseil de la partie intimée, s’est constitué mandataire toutefois sans produire de procuration et a requis trois prolongations du délai de déterminations en raison de surcharge de travail et « dans l’optique d’entamer des pourparlers avec la partie adverse », ce qui équivaut tout au plus à trente minutes de travail (envois des 10 et 25 novembre 2022, ainsi que 9 décembre 2022). Ces prolongations de délai lui ont été accordées et il a été prié de produire une procuration. Me Zilla a ensuite déposé une écriture valant déterminations en date du 14 décembre 2022, puis une procuration en date du 12 janvier 2022. Dans le cadre des déterminations du 14 décembre 2022, Me Zilla a écrit que sa mandante n’avait d’autre observation à formuler que requérir que soit vérifiée la production en original du commandement de payer et a annoncé qu’elle invoquerait des créances en compensation. Me Zilla n’a pas produit de liste d’opérations et n’a en particulier pas revendiqué d’opérations effectuées dans le cadre des pourparlers transactionnels qu’il avait évoqués. b) Dans sa réponse au recours, Me Zilla fait valoir la prise de connaissance de la requête, des entretiens/échanges avec sa cliente, ainsi que certaines recherches juridiques, dont le résultat lui a donné à considérer que la requête serait rejetée, d’où des déterminations succinctes. Il invoque au total 5,7 heures de travail dans le cadre de la présente procédure devant l’autorité de première instance, justifiant des honoraires, TVA et débours compris, au tarif horaire de 350 fr., de 2'256 fr. 05. A l’appui de ses dires, il produit des pièces, à savoir notamment son « mémoire d’honoraires » (P. 103). En droit, il a rappelé le pouvoir d’appréciation du juge réservé par la législation topique. c) Me Zilla n’ayant pas produit de liste de ses opérations en temps utile, la pièce n° 103 est, comme on l’a vu, irrecevable (consid. 1.3 ci-dessus) et ne saurait être considérée représentative du travail effectué.</w:t>
      </w:r>
    </w:p>
    <w:p>
      <w:r>
        <w:t>- 13 - Il ne ressort par ailleurs pas non plus du dossier, ni même de la réponse au recours que les parties auraient effectivement entrepris des pourparlers transactionnels et que Me Zilla aurait effectué des opérations à ce titre. Il est par contre établi par le titre produit à l’appui de la requête de mainlevée que Me Zilla était déjà le mandataire de l’intimée dans la procédure au fond et qu’il disposait par conséquent d’une connaissance préalable du dossier. Dès lors, les déterminations du 4 décembre 2022, réduites à quelques lignes, donc « très succinctes » au sens de l’art. 20 al. 2 TDC, ne justifient effectivement pas la prise en compte de plusieurs heures de travail d’avocat, mais tout au plus de trente minutes. En définitive, le temps consacré par Me Zilla à la défense des intérêts de l’intimée dans la présente procédure peut être estimé en tout et pour tout à une heure au maximum, ce qui justifie l’allocation d’un montant de 297 fr. 50 francs de dépens (tarif horaire de 350.-, réduit de 15 % eu égard à la valeur litigieuse). Ce montant est bien en disproportion manifeste au sens de l’art. 20 al. 2 CPC avec le montant minimum prévu par le TDC. Il y a lieu d’y ajouter 5% au titre des débours pour la première instance (art. 19 al. 2 TDC), soit un montant supplémentaire de 17 fr. 50, pour un total de 315 francs. En l’absence de liste d’opérations détaillée faisant état de la TVA et produite en temps utile, la TVA est incluse dans le montant alloué forfaitairement ci-avant (TF 4A_465/2016 du 15 novembre 2016 c. 3.2.). En définitive, si l’on peut donner quittance aux recourants que le montant alloué est disproportionné par rapport au travail effectué par le conseil de l’intimée dans la présente procédure, le recours ne doit être que partiellement admis, dans la mesure de ce qui précède, les dépens visés au ch. IV du dispositif étant réduits à 315 francs. 3. En conclusion, le recours doit être partiellement admis et le prononcé réformé à son ch. IV en ce sens que les dépens de première instance alloués à la poursuivie sont arrêtés à 315 francs.</w:t>
      </w:r>
    </w:p>
    <w:p>
      <w:r>
        <w:t>- 14 - Obtenant en recours une réduction de 685 fr. sur les 925 fr. 63 contestés, soit 74 % des conclusions en recours, il se justifie de répartir les frais judiciaires de deuxième instance, arrêtés à 180 fr., à raison d’un quart à la charge des recourants, par 45 fr., et de trois quart à la charge de l’intimée, par 135 fr. (art. 106 al. 2 CPC). Celle-ci remboursera aux recourants la part à sa charge des frais judiciaires avancés par ceux-ci (art. 111 al. 2 CPC) et leur versera en outre des dépens de deuxième instance arrêtés à 400 fr. (art. 3 al. 2 et 8 TDC) et réduits de moitié pour tenir compte du quart de ceux-ci que les recourants devraient verser à l’intimé au vu de l’issue du recours (art. 106 al. 2 CPC), soit après compensation.</w:t>
      </w:r>
    </w:p>
    <w:p>
      <w:r>
        <w:rPr>
          <w:b/>
        </w:rPr>
        <w:t>E. 3</w:t>
      </w:r>
    </w:p>
    <w:p>
      <w:r>
        <w:t>Par prononcé non motivé du 16 janvier 2023, notifié aux poursuivants le 6 février 2023, le Juge de paix du district de Lausanne a rejeté la requête de mainlevée (I), a arrêté les frais judiciaires à 360 fr. (II), les a mis à la charge des poursuivants (II) et a alloué à la poursuivie des dépens de première instance, fixés à 1'000 fr. (IV). Le 7 février 2023, les poursuivants ont requis la motivation du prononcé. Les motifs du prononcés ont été adressés aux parties le 6 mars 2023 et notifiés aux poursuivants le lendemain. Le premier juge a rejeté la requête de mainlevée au motif que les poursuivants n’avaient pas produit le jugement de première instance condamnant la poursuivie à payer le montant en poursuite. Pour ce qui est des dépens, il a considéré qu’au vu de la valeur litigieuse, la règlementation en vigueur prescrivait un montant de 1'500 fr. et que compte tenu des opérations nécessaires effectuées par le conseil de l’intimée, ce montant devait être ramené à 1'000 francs.</w:t>
      </w:r>
    </w:p>
    <w:p>
      <w:r>
        <w:rPr>
          <w:b/>
        </w:rPr>
        <w:t>E. 4</w:t>
      </w:r>
    </w:p>
    <w:p>
      <w:r>
        <w:t>Par acte du 17 mars 2023, les poursuivants, par leur conseil nouvellement constitué, ont recouru contre ce prononcé en concluant, avec suite de frais et dépens, à la réforme du chiffre IV de son dispositif en ce sens que le montant des dépens mis à leur charge est réduit à 74 fr. 37. Ils ont requis que l’effet suspensif soit accordé au recours. Par décision du 20 mars 2023, le président de la cour de céans a rejeté la requête d’effet suspensif. Dans ses déterminations du 24 avril 2023, l’intimée a conclu, avec suite de frais et dépens, au rejet du recours. Elle a produit un bordereau de quatre pièces.</w:t>
      </w:r>
    </w:p>
    <w:p>
      <w:r>
        <w:t>- 6 - Le 26 avril 2023, les recourants personnellement ont déposé auprès de la justice de paix une écriture spontanée, ainsi que diverses pièces. Cette écriture a été transmise à la cour de céans le 1er mai 2023. Le 4 mai 2023, les recourants, par leur conseil, ont déposé une réplique spontanée confirmant leurs conclusions. En d roit : 1. 1.1. La voie du recours séparé en matière de frais de l’art. 110 CPC (Code de procédure civile du 19 décembre 2008 ; RS 272) est ouverte dans les procédure sommaires de la LP (loi fédérale du 11 avril 1889 sur la poursuite pour dettes et la faillite ; RS 281.1) définies à l’art. 251 CPC (cf. en matière de procédure sommaire de retour à meilleure fortune : ATF 138 III 130 consid. 2.2). Il s’agit du recours de l’art. 319 let. b ch. 1 CPC (CREC 12 novembre 2021/310). Interjeté dans le délai de dix jours de l’art 321 al. 2 CPC régissant le délai de recours contre la décision au fond (ibidem) et motivé conformément à l’art. 321 al. 1 CPC, notamment s’agissant de l’obligation de chiffrer les conclusions (TF 5A_825/2016 du 28 avril 2017 consid. 3.3 ; TF 4A_35/2015 du 12 juin 2015 consid. 3.2. et 3.3), le recours est recevable. Les déterminations de l’intimée sont également recevables. 1.2 1.2.1 Il est communément admis en procédure que la motivation d'un acte de recours doit être entièrement contenue dans le mémoire de recours lui-même. Elle ne saurait dès lors être complétée ou corrigée ultérieurement. Si elle fait défaut, la juridiction d'appel ou de recours</w:t>
      </w:r>
    </w:p>
    <w:p>
      <w:r>
        <w:t>- 7 - n'entre pas en matière (ATF 142 III 413 consid. 2.2.4 ; TF 4A_659/2011 du</w:t>
      </w:r>
    </w:p>
    <w:p>
      <w:r>
        <w:rPr>
          <w:b/>
        </w:rPr>
        <w:t>E. 7</w:t>
      </w:r>
    </w:p>
    <w:p>
      <w:r>
        <w:t>décembre 2011 consid. 3, publié in SJ 2012 I p. 231). 1.2.2 Avant de rendre son jugement, l'autorité doit communiquer aux parties toute prise de position nouvelle versée au dossier – que celle- ci contienne ou non des éléments nouveaux et qu'elle soit ou non susceptible concrètement d'influer sur le jugement à rendre – pour permettre à celles-ci de décider si elle veulent ou non faire usage de leur faculté de se déterminer (ATF 146 III 97 c. 3.4.1 ; ATF 142 III 48 c. 4.1.1 ; ATF 139 II 489 c. 3.3 ; ATF 139 I 189 c. 3.2 ; TF 5A_925/2015 du 4 mars 2016 c. 2.3.3.1, non publié à l’ATF 142 III 195). Les parties ont un droit inconditionnel à se déterminer sur toute argumentation présentée au tribunal par la partie adverse, que celle-ci contienne ou non de nouveaux éléments de fait ou de droit et qu’elle soit ou non susceptible d’influer sur le jugement (ATF 144 III 117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