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KC22.033555 vom 2. Juni 2023</w:t>
      </w:r>
    </w:p>
    <w:p>
      <w:r>
        <w:t>VD Tribunal cantonal, 2023-06-02, FR</w:t>
      </w:r>
    </w:p>
    <w:p>
      <w:r>
        <w:rPr>
          <w:b/>
        </w:rPr>
        <w:t xml:space="preserve">Quelle: </w:t>
      </w:r>
      <w:r>
        <w:t>https://mcp.opencaselaw.ch/entscheid/vd_gerichte_KC22.033555</w:t>
      </w:r>
    </w:p>
    <w:p>
      <w:r>
        <w:t>FR: VD_GERICHTE KC22.033555 du 2 juin 2023</w:t>
      </w:r>
    </w:p>
    <w:p>
      <w:r>
        <w:t>IT: VD_GERICHTE KC22.033555 del 2 giugno 2023</w:t>
      </w:r>
    </w:p>
    <w:p>
      <w:pPr>
        <w:pStyle w:val="Heading2"/>
      </w:pPr>
      <w:r>
        <w:t>Volltext</w:t>
      </w:r>
    </w:p>
    <w:p>
      <w:r>
        <w:t>TRIBUNAL CANTONAL KC22.033555-230258 59 CO UR DE S P OURSUITES ET FAILL ITES ________________________________________________ Arrêt du 2 juin 2023 __________________ Composition :M. HACK, président Mmes Giroud Walther et Cherpillod, juges Greffier : Mme Joye ***** Art. 321 al. 1 CPC Vu le prononcé rendu sous forme de dispositif le 8 décembre 2023, par lequel la Juge de paix du district de Lausanne a prononcé la mainlevée définitive de l’opposition formée par M.________, à La Chaux-de- Fonds, au commandement de payer qui lui a été notifié à la réquisition de l’ETAT DE VAUD, représenté par la Direction générale des affaires institutionnelles et des communes (DGAIC), à Lausanne, dans la poursuite n° 10'442'731 de l’Office des poursuites du district de Lausanne, 111</w:t>
      </w:r>
    </w:p>
    <w:p>
      <w:r>
        <w:t>- 2 - vu les motifs du prononcé, adressés aux parties le 3 janvier (recte : février) 2023 et notifiés au poursuivi le 8 février 2023, vu l’acte de recours – non signé – déposé le 22 février 2023 par M.________ contre ce prononcé, vu le courrier recommandé du 1er mars 2023 par lequel le Président de la cour de céans a imparti au recourant un délai de cinq jours pour signer son acte de recours, vu l’acte de recours – signé – déposé par M.________ le 2 mars 2023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prononcé motivé a été notifié à M.________ le 8 février 2023, que le délai de recours a commencé à courir le 9 février 2023 (art. 142 al. 1 CPC) et est arrivé à échéance le samedi 18 février et reporté au lundi 20 février 2023 (art. 142 al. 3 CPC), que le recours déposé le 22 février 2023 est ainsi tardif, qu’il doit dès lors être déclaré irrecevable ; attendu que le présent arrêt peut être rendu sans frais judiciaires de deuxième instance (art. 11 TFJC [tarif des frais judiciaire civils ; BLV 270.11.5]).</w:t>
      </w:r>
    </w:p>
    <w:p>
      <w:r>
        <w:t>- 3 -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M.________, - DGAIC (pour l’Etat de Vaud). La Cour des poursuites et faillites considère que la valeur litigieuse est de 7'348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- 4 -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