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KC22.027210 vom 30. Dezember 2022</w:t>
      </w:r>
    </w:p>
    <w:p>
      <w:r>
        <w:t>VD Tribunal cantonal, 2022-12-30, FR</w:t>
      </w:r>
    </w:p>
    <w:p>
      <w:r>
        <w:rPr>
          <w:b/>
        </w:rPr>
        <w:t xml:space="preserve">Quelle: </w:t>
      </w:r>
      <w:r>
        <w:t>https://mcp.opencaselaw.ch/entscheid/vd_gerichte_KC22.027210</w:t>
      </w:r>
    </w:p>
    <w:p>
      <w:r>
        <w:t>FR: VD_GERICHTE KC22.027210 du 30 décembre 2022</w:t>
      </w:r>
    </w:p>
    <w:p>
      <w:r>
        <w:t>IT: VD_GERICHTE KC22.027210 del 30 dicembre 2022</w:t>
      </w:r>
    </w:p>
    <w:p>
      <w:pPr>
        <w:pStyle w:val="Heading2"/>
      </w:pPr>
      <w:r>
        <w:t>Volltext</w:t>
      </w:r>
    </w:p>
    <w:p>
      <w:r>
        <w:t>TRIBUNAL CANTONAL KC22.027210-221503 243 CO UR DE S P OURSUITES ET FAILL ITES ________________________________________________ Arrêt du 30 décembre 2022 __________________ Composition :M. MAILLARD, vice-président Mmes Byrde et Cherpillod, juges Greffier : Mme Joye ***** Art. 321 al. 1 CPC Vu le prononcé rendu sous forme de dispositif le 26 septembre 2022, à la suite de l’audience du même jour, adressé aux parties le 14 octobre 2022, par lequel la Juge de paix du district de Lausanne a rejeté la requête déposée par I.________, à ...]Lausanne, tendant à la mainlevée provisoire, à concurrence de 60’000 fr. avec intérêt à 5 % l’an dès le 15 novembre 2021, de l’opposition formée par U.________, à Lausanne, à la poursuite n° 10'201'098 de l’Office des poursuites du district de Lausanne (I), a mis les frais judiciaires, arrêtés à 480 fr., à la charge du poursuivant (II et III) et a dit qu’il n’était pas alloué de dépens (IV),</w:t>
      </w:r>
    </w:p>
    <w:p>
      <w:r>
        <w:t>- 2 - vu la motivation du prononcé, requise par le poursuivant le 21 octobre 2022, adressée aux parties le 14 novembre 2022 et notifiée à la poursuivie le 16 novembre suivant, vu l’acte de recours, qui ne comporte pas de dernière page ni de signature, déposé par le poursuivant le 22 novembre 2022 ;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a été déposé en temps utile ; attendu que les actes que les parties adressent au tribunal doivent être signés (art. 130 al. 1 CPC), que lorsque l’acte est transmis sous forme de document papier, la signature manuelle de son auteur doit y figurer en original, une signature en photo-copie n’étant pas valable (Bohnet, Commentaire romand, Code de procédure civile, 2e éd., n. 10 ad art. 130 CPC et les références citées), qu’en application de l’art. 132 al. 1 CPC, le tribunal fixe un délai pour la rectification des vices de forme telle l'absence de signature (art. 130 al. 1 CPC), à défaut de quelle rectification, l'acte n'est pas pris en considération, qu’en l’espèce, le recours, dont il manque la dernière page, n’est pas signé,</w:t>
      </w:r>
    </w:p>
    <w:p>
      <w:r>
        <w:t>- 3 - que la photocopie de l’acte de recours, produite dans son entier par le recourant parmi les pièces accompagnant son écriture, ne comporte sa signature qu’en copie, que l’acte de recours est dès lors informe, qu’on peut toutefois renoncer à impartir au recourant un délai pour procéder à la rectification de ce vice, dès lors que le recours doit de toute manière être déclaré irrecevable pour un autre motif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w:t>
      </w:r>
    </w:p>
    <w:p>
      <w:r>
        <w:t>- 4 - que ni l’art. 132 al. 1 et 2 ni l’art. 56 CPC ne sont applicables en cas d’absence de motivation d’un acte de recours (TF 5D_43/2019 précité ; TF 5A_387/2016 précité ; RSPC 6/2015 pp. 512 s. précité, et les arrêts cités) ; attendu qu’en l’espèce, le recourant expose le fond du litige l’opposant à l’intimée et les faits qui ont conduit à l’introduction de la présente poursuite, que ce faisant, il ne développe aucun grief en lien avec la motivation du prononcé attaqué selon laquelle il ne dispose d’aucun titre de mainlevée provisoire pour le montant de 60'000 fr. en poursuite, les pièces dont il se prévaut à l’appui de sa requête de mainlevée (divers tickets et factures) ne contenant pas la signature de la partie poursuivie, que le recours est ainsi irrecevable, faute de motivation conforme à l’art. 321 al. 1 CPC et à la jurisprudence susmentionnée ; attendu que l’on peut préciser que la procédure de mainlevée est une procédure sur pièces, dont le but n’est pas de constater la réalité de la créance en poursuite, mais l’existence d’un titre exécutoire, le juge examinant uniquement la force probante du titre produit par le poursuivant, en vérifiant notamment l'existence d'une reconnaissance de dette (ATF 142 III 720 consid. 4.1) et l’exigibilité de la créance au moment de l’introduction de la poursuite (ATF 140 III 456 consid. 2.4), que le recourant a toujours la possibilité d’agir devant le juge civil ordinaire en demandant que l’intimé soit condamné à lui payer les montants dont il s’estime créancier, ce juge ayant la possibilité d’administrer d’autre moyens de preuve que les seules pièces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vice-président : Le greffier : Du L'arrêt qui précède, dont la rédaction a été approuvée à huis clos, est notifié, par l'envoi de photocopies, à : - M. I.________, - U.________. La Cour des poursuites et faillites considère que la valeur litigieuse est de 60’000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