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KC22.026323 vom 19. Mai 2023</w:t>
      </w:r>
    </w:p>
    <w:p>
      <w:r>
        <w:t>VD Tribunal cantonal, 2023-05-19, FR</w:t>
      </w:r>
    </w:p>
    <w:p>
      <w:r>
        <w:rPr>
          <w:b/>
        </w:rPr>
        <w:t xml:space="preserve">Quelle: </w:t>
      </w:r>
      <w:r>
        <w:t>https://mcp.opencaselaw.ch/entscheid/vd_gerichte_KC22.026323</w:t>
      </w:r>
    </w:p>
    <w:p>
      <w:r>
        <w:t>FR: VD_GERICHTE KC22.026323 du 19 mai 2023</w:t>
      </w:r>
    </w:p>
    <w:p>
      <w:r>
        <w:t>IT: VD_GERICHTE KC22.026323 del 19 maggio 2023</w:t>
      </w:r>
    </w:p>
    <w:p>
      <w:pPr>
        <w:pStyle w:val="Heading2"/>
      </w:pPr>
      <w:r>
        <w:t>Volltext</w:t>
      </w:r>
    </w:p>
    <w:p>
      <w:r>
        <w:t>TRIBUNAL CANTONAL KC22.026323-230268 55 CO UR DE S P OURSUITES ET FAILL ITES ________________________________________________ Arrêt du 19 mai 2023 __________________ Composition :M. HACK, président Mme Byrde et M. Maillard, juges Greffier : Mme Umulisa Musaby ***** Art. 81 al. 1 LP Vu la décision rendue le 16 novembre 2022, à la suite de l'interpellation de la partie poursuivie, par la Juge de paix du district de Nyon, prononçant la mainlevée définitive, à concurrence de 1) 29'629 fr. 85 plus intérêt à 3,5% l'an dès le 30 novembre 2021 et de 2) 3'384 fr. 80, sans intérêt, de l'opposition formée par S.________, à Prangins, au commandement de payer qui lui avait été notifié le 9 juin 2022 à la réquisition de l'ETAT DE VAUD, représenté par l'Office d'impôt des districts de Nyon et Morges, dans la poursuite n° 10'443'619 de l'Office des poursuites du district de Nyon (I), arrêtant à 360 fr. les frais judiciaires, compensés avec l'avance de frais de la partie poursuivante (II), mettant ces frais à la charge de la partie poursuivie (III) et disant qu'en 111</w:t>
      </w:r>
    </w:p>
    <w:p>
      <w:r>
        <w:t>- 2 - conséquence la partie poursuivie rembourserait à la partie poursuivante son avance de frais à concurrence de 360 fr., sans allocation de dépens pour le surplus (IV), vu la notification des motifs au poursuivi le 9 février 2023, vu l'acte posté le 20 février 2023 par S.________, qui a conclu, avec suite de frais, à l'annulation de la décision qui précède, vu l'acte du même jour, par lequel le recourant a requis la jonction de la présente cause KC22.026323 avec la cause KC22.026324 portant sur une poursuite en lien avec l'impôt fédéral direct de l'année 2018 (Confédération Suisse)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le recourant a requis la jonction de causes, que pour simplifier le procès, le tribunal peut notamment ordonner une jonction de causes (art. 125 let. c CPC), le critère étant</w:t>
      </w:r>
    </w:p>
    <w:p>
      <w:r>
        <w:t>- 3 - uniquement celui de la simplification du procès, selon l'appréciation du tribunal (Haldy, in Bohnet/Haldy/ Jeandin/Schweizer/Tappy [éd.], Commentaire romand, Code de procédure civile, 2e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20 juin 2022, le poursuivant Etat de Vaud, représenté par l'Office d'impôt des districts de Nyon et Morges (ci-après : l'Office d'impôt), a produit notamment les pièces suivantes : - l'original du commandement de payer notifié à son instance au poursuivi le 9 juin 2022, dans la poursuite n° 10'443'619 de l'Office des poursuites du district de Nyon, frappé d'opposition totale, portant sur les montants de 1) 29'629 fr. 85 plus intérêt à 3,5% l'an dès le 30 novembre 2021 et de 2) 3'384 fr. 80 sans intérêt, et indiquant ce qui suit sous titre et date de la créance ou cause de l'obligation : "1. Impôt sur le revenu et la fortune 2018 (Etat de Vaud, Commune de Prangins) selon décision de taxation du 26.10.2021 et du décompte final du 26.10.2021 ; sommation adressée le 23.12.2021. 2. Intérêts moratoires sur acomptes" ; - une décision de taxation rendue le 26 octobre 2021 par l'Office d'impôt indiquant que l'impôt cantonal et communal (ICC) pour l'année 2018 s'élevait à 64'629 fr. 85 et que cette décision pouvait faire l'objet d'une réclamation écrite dans les trente jours auprès de l'autorité de taxation dès sa notification. Un timbre humide apposé sur ce document</w:t>
      </w:r>
    </w:p>
    <w:p>
      <w:r>
        <w:t>- 4 - atteste «qu'aucune réclamation n'a été déposée [et que] cette décision est donc passée en force» ; - un décompte final du 26 octobre 2021 indiquant que le montant de l'impôt sur le revenu et la fortune selon décision de taxation du 26 octobre 2021 se montait à 64'629 fr. 85, celui des intérêts moratoires sur acomptes ICC à 3'384 fr. 80 et que la part de l'impôt sur le revenu et la fortune s'élevait à 33'014 fr. 65 (réd. soit 29'629 fr. 85 + 3'384 fr. 80). Il était précisé (au verso) que ce décompte pouvait faire l'objet d'une réclamation écrite dans les trente jours à l'autorité ayant pris la décision dès la notification de cette décision. Un timbre humide apposé sur ce document atteste «qu'aucune réclamation n'a été déposée [et que] cette décision est donc passée en force» ; - un rappel adressé au poursuivi le 23 décembre 2021 l'invitant à verser dans les dix jours le montant de 33'014 fr. 65, plus intérêt moratoire, selon le décompte du 26 octobre 2021 et compte tenu des versements enregistrés au 17 décembre 2021 ; - un «Relevé de compte» établi par le poursuivant le 20 juin 2022 et indiquant les mouvements pris en compte jusqu'à cette date, que par déterminations du 7 septembre 2022, le poursuivi a conclu, principalement, au rejet de la requête de mainlevée, subsidiairement, à l'annulation de la poursuite selon l'art. 85 LP et a produit les pièces suivantes : - des courriers et courriels que le poursuivi et son mandataire ont adressés à l'Office d'impôt les 7, 20 janvier, 25 février et 18 mai 2022 ; - un tableau, non daté ni signé, intitulé «[...] – résumé impôts canton de Vaud 2001 à 2020 (en CHF)», selon lequel des «paiements effectifs» auraient été faits à hauteur de 2'069'864 fr. pour la période de 2001 à 2020, dont 110'033 fr. pour l'année 2001 et 17'744 fr. pour 2003. Toujours selon ce tableau, il n'y aurait pas eu de «décision selon ACI (réd. : décision</w:t>
      </w:r>
    </w:p>
    <w:p>
      <w:r>
        <w:t>- 5 - de taxation)» pour l'année 2002 et les années 2001 et 2003 seraient prescrites ; que par réplique du 15 septembre 2022, accompagné d'une pièce (un courrier du poursuivi du 30 octobre 2016), le poursuivant a fait valoir que le poursuivi avait bien reçu les décisions de taxation relatives aux années 2001 à 2003 et que les montants qu'il avait versés sur ces périodes ne pouvaient pas éteindre la créance en poursuite, que par duplique du 30 septembre 2022, accompagnée d'une pièce (un courrier du poursuivi du 7 novembre 2016), le poursuivi a soutenu qu'il avait formé réclamation,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 vraisemblable ; il doit, au contraire, en rapporter la preuve stricte (ATF 136 III 624 consid. 4.2.1 ; ATF 125 III 42 consid. 2b ; ATF 124 III 501 consid. 3a),</w:t>
      </w:r>
    </w:p>
    <w:p>
      <w:r>
        <w:t>- 6 -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qu'en l'espèce, la juge de paix a considéré qu'au vu de leur caractère exécutoire, la décision de taxation et le décompte final du 26 octobre 2021 valaient ensemble titre à la mainlevée définitive et le poursuivi n'avait pas rendu vraisemblable la réalisation de l'une des hypothèses citées à l'art. 81 al. 1 LP, que le recourant fait valoir que les décisions de taxation n'étaient pas exécutoires car «le droit de taxer pour cette année a été éteint par la prescription absolue», que cet argument tombe à faux, qu'en effet, les décisions de taxation du 26 octobre 2021 se réfèrent à l'année 2018 et n'ont aucun rapport avec les années 2001 à 2003 comme tente de le faire valoir le recourant, qu'en ce qui concerne la prétendue prescription du droit de taxer les années 2001 à 2003, soit les périodes antérieures aux décisions de taxation en cause du 26 octobre 2021, ce moyen n'est de toute manière pas recevable dans le cadre d'une procédure de mainlevée (cf. TF 5A_62/2017 du 2 mars 2017 consid. 3.3 ; TF 5A_216/2013 du 24 juillet 2013 consid. 2.2.3),</w:t>
      </w:r>
    </w:p>
    <w:p>
      <w:r>
        <w:t>- 7 - qu'en outre, le recourant invoque avoir éteint avec son épouse les créances en poursuite par le paiement de 2'069'864 fr. pour la période de 2001 à 2020, qu'à l'appui de cet argument, il produit un tableau dont il ressortirait «clairement» que des versements «avaient été faits, pour l'année prescrite en particulier», tableau que le recourant aurait adressé à l'autorité de taxation et que celle-ci n'aurait jamais contesté, que le tableau dont se prévaut le recourant (annexe à la pièce 3 du recours) n'a aucune force probante, ayant été établi par la partie elle- même, qu'il ne démontre donc pas que des montants supérieurs aux montants spontanément retenus par le créancier auraient été payés pour éteindre la dette fiscale en capital et intérêts de l'année 2018, qu'en définitive, le recourant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(art. 61 OELP [Ordonnance fédérale sur les émoluments perçus en application de la loi fédérale sur la poursuite pour dettes et la faillite ; RS 281.35]), doivent être mis à la charge du recourant, qui succombe (art. 106 al. 1 CPC), qu'il n'y a pas lieu à l'allocation de dépens, l'intimé n'ayant pas été invité à se déterminer.</w:t>
      </w:r>
    </w:p>
    <w:p>
      <w:r>
        <w:t>- 8 - Par ces motifs, la Cour des poursuites et faillites du Tribunal cantonal, statuant à huis clos en sa qualité d'autorité de recours en matière sommaire de poursuites, prononce : I. La requête de jonction des causes KC22.026323 et KC22.026324 est rejetée. II. Le recours est rejeté. III. Le prononcé est confirmé. IV. Les frais judiciaires de deuxième instance, arrêtés à 540 fr. (cinq cent quarante francs), sont mis à la charge du recourant S.________. V. L'arrêt est exécutoire. Le président : La greffière: Du L'arrêt qui précède, dont la rédaction a été approuvée à huis clos, est notifié, par l'envoi de photocopies, à : - M. S.________ - Etat de Vaud, représenté par l'Office d'impôt des districts de Nyon et Morges</w:t>
      </w:r>
    </w:p>
    <w:p>
      <w:r>
        <w:t>- 9 - La Cour des poursuites et faillites considère que la valeur litigieuse est de 33'014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