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KC22.018739 vom 26. Oktober 2022</w:t>
      </w:r>
    </w:p>
    <w:p>
      <w:r>
        <w:t>VD Tribunal cantonal, 2022-10-26, FR</w:t>
      </w:r>
    </w:p>
    <w:p>
      <w:r>
        <w:rPr>
          <w:b/>
        </w:rPr>
        <w:t xml:space="preserve">Quelle: </w:t>
      </w:r>
      <w:r>
        <w:t>https://mcp.opencaselaw.ch/entscheid/vd_gerichte_KC22.018739</w:t>
      </w:r>
    </w:p>
    <w:p>
      <w:r>
        <w:t>FR: VD_GERICHTE KC22.018739 du 26 octobre 2022</w:t>
      </w:r>
    </w:p>
    <w:p>
      <w:r>
        <w:t>IT: VD_GERICHTE KC22.018739 del 26 ottobre 2022</w:t>
      </w:r>
    </w:p>
    <w:p>
      <w:pPr>
        <w:pStyle w:val="Heading2"/>
      </w:pPr>
      <w:r>
        <w:t>Volltext</w:t>
      </w:r>
    </w:p>
    <w:p>
      <w:r>
        <w:t>TRIBUNAL CANTONAL KC22.018739-221139 184 CO UR DE S P OURSUITES ET FAILL ITES ________________________________________________ Arrêt du 26 octobre 2022 __________________ Composition :M. MAILLARD, vice-président Mmes Giroud Walther et Cherpillod, juges Greffier : Mme Joye ***** Art. 321 al. 1 CPC Vu la décision rendue sous forme de dispositif le 11 août 2022 par la Juge de paix du district de La Riviera-Pays-d’Enhaut, prononçant la mainlevée définitive de l’opposition formée par I.________, à Clarens, à la poursuite n° 10'089’758 de l’Office des poursuites du même district introduite par le CANTON DE VAUD, représenté par l’Office d’impôt des Personnes Morales, à Yverdon-les-Bains (I), arrêtant à 90 fr. les frais judiciaires, compensés avec l’avance de frais du poursuivant (III), les mettant à la charge de la poursuivie (IV) et disant que celle-ci remboursera au poursuivant son avance de frais à concurrence de 90 fr., sans allocation de dépens pour le surplus (V), 111</w:t>
      </w:r>
    </w:p>
    <w:p>
      <w:r>
        <w:t>- 2 - vu la demande de motivation formulée par la poursuivie par lettre du 15 août 2022, vu les motifs du prononcé adressés aux parties le 25 et notifiés à la poursuivie le 30 août 2022, vu le recours formé contre cette décision par la poursuivie, par acte daté du 1er et posté le 6 septembre 2022 ; vu les autres pièces au dossier ; attendu que le recours a été déposé à temps, dans les dix jours suivant la notification du prononcé motivé (art. 321 al. 2 CPC [Code de procédure civile du 19 décembre 2008, RS 272]) ; attendu que les actes que les parties adressent au tribunal doivent être signés (art. 130 al. 1 CPC), que lorsque l’acte est transmis sous forme de document papier, la signature manuelle de son auteur doit y figurer en original, une signature en photo-copie n’étant pas valable (Bohnet, Commentaire romand, Code de procédure civile, 2e éd., n. 10 ad art. 130 CPC et les références citées), qu’en application de l’art. 132 al. 1 CPC, le tribunal fixe un délai pour la rectification des vices de forme telle l'absence de signature (art. 130 al. 1 CPC), à défaut de quelle rectification, l'acte n'est pas pris en considération, qu’en l’espèce, la signature figurant sur l’acte de recours semble avoir été scanné,</w:t>
      </w:r>
    </w:p>
    <w:p>
      <w:r>
        <w:t>- 3 - que ne s’agissant en tous les cas pas d’une signature manuelle originale, l’acte est informe, qu’on peut toutefois renoncer à impartir à la recourante un délai pour procéder à la rectification de ce vice, dès lors que le recours doit de toute manière être déclaré irrecevable pour un autre motif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(TF 5D_43/2019 précité ; TF 5A_387/ 2016 précité ; RSPC 6/2015 pp. 512 s. précité, et les arrêts cités),</w:t>
      </w:r>
    </w:p>
    <w:p>
      <w:r>
        <w:t>- 4 -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6 octobre 2022/155 ; CPF 22 février 2021/17 ; CREC 2 juin 2014/190 ; CREC 11 juillet 2014/238), qu’en l’espèce, dans son acte de recours, difficilement compréhensible, la recourante semble reprocher un retard au fisc et indique que « les déclarations ont été remplies dans les délais », que « finalement, après 8 ans, l’Office d’impôt des personnes morales a convenu qu’en 2012/2013 et 2014 il n’y avait ni profit ni pertes » et que « comme les déclarations à partir de 2015/2021 sont toutes les mêmes que les déclarations 2012/2014 Office d’impôt des personnes morales s’accordera sur les années 2012/2021 et s’accordera sur 2019/2021 », que, ce faisant, la recourante ne soulève aucun grief ou moyen de recours contre les considérants topiques du prononcé attaqué, selon lesquels le poursuivant est au bénéfice de décisions fiscales entrées en force, valant titres de mainlevée définitive d’opposition au sens de l’art. 80 LP (loi fédérale sur la poursuite pour dettes et la faillite ; RS 281.1), que le recours n’est ainsi pas motivé de manière conforme aux exigences posées par la loi et la jurisprudence, ni ne contient de conclusions chiffrées, qu’il doit dès lors être déclaré irrecevable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Vice-président : La greffière : Du L'arrêt qui précède, dont la rédaction a été approuvée à huis clos, est notifié, par l'envoi de photocopies, à : - I.________, - Office d’impôt des Personnes Morales (pour Canton de Vaud).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