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KC22.015467 vom 3. Oktober 2022</w:t>
      </w:r>
    </w:p>
    <w:p>
      <w:r>
        <w:t>VD Tribunal cantonal, 2022-10-03, FR</w:t>
      </w:r>
    </w:p>
    <w:p>
      <w:r>
        <w:rPr>
          <w:b/>
        </w:rPr>
        <w:t xml:space="preserve">Quelle: </w:t>
      </w:r>
      <w:r>
        <w:t>https://mcp.opencaselaw.ch/entscheid/vd_gerichte_KC22.015467</w:t>
      </w:r>
    </w:p>
    <w:p>
      <w:r>
        <w:t>FR: VD_GERICHTE KC22.015467 du 3 octobre 2022</w:t>
      </w:r>
    </w:p>
    <w:p>
      <w:r>
        <w:t>IT: VD_GERICHTE KC22.015467 del 3 ottobre 2022</w:t>
      </w:r>
    </w:p>
    <w:p>
      <w:pPr>
        <w:pStyle w:val="Heading2"/>
      </w:pPr>
      <w:r>
        <w:t>Volltext</w:t>
      </w:r>
    </w:p>
    <w:p>
      <w:r>
        <w:t>TRIBUNAL CANTONAL KC22.015467-220943 134 CO UR DE S P OURSUITES ET FAILL ITES ________________________________________________ Arrêt du 3 octobre 2022 __________________ Composition :M. HACK, président Mme Byrde et M. Maillard, juges Greffier : Mme Joye ***** Art. 321 al. 1 CPC Vu le prononcé rendu sous forme de dispositif le 8 juin 2022, à la suite de l’interpellation du poursuivi, par la Juge de paix du district d’Aigle, prononçant la mainlevée définitive de l’opposition formée par M.________, à Aigle, au commandement de payer n° 10'189’260 de l’Office des poursuites du même district, notifiée à l’instance de l’ETAT DE VAUD, représenté par la Direction générale des affaires institutionnelles et des communes (DGAIC), à Lausanne, vu le courrier de M.________ reçu au greffe de la justice de paix le 14 juin 2022, considéré comme une demande de motivation, dans 111</w:t>
      </w:r>
    </w:p>
    <w:p>
      <w:r>
        <w:t>- 2 - lequel l’intéressé semble contester de manière très confuse le prononcé susmentionné, vu les motifs du prononcé adressés aux parties le 4 juillet 2022, vu le courrier posté le 7 juillet 2022 par lequel le poursuivi déclare contester « la totalité de l’acte comme depuis 20 ans pour les mêmes motifs »,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recours peut déjà s’exercer dans le délai de demande de motivation, lequel est de dix jours dès la notification du dispositif (art. 239 al. 2 CPC), qu’en l’espèce, les deux écritures susmentionnées du recourant ont été déposées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- 3 -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w:t>
      </w:r>
    </w:p>
    <w:p>
      <w:r>
        <w:t>- 4 - qu’en l’espèce, le recourant ne formule aucun grief ni moyen de recours reconnaissable et compréhensible contre le prononcé de la juge de paix, qu’en particulier, il ne conteste pas les considérants topiques de ce prononcé selon lesquels le poursuivant est au bénéfice de décisions pénales définitives et exécutoires valant titres de mainlevée définitive d’opposition au sens de l’art. 80 LP (loi fédérale sur la poursuite pour dettes et la faillite ; RS 281.1), que l’écriture du recourant ne contient pas non plus de conclusions, que le recours doit dès lors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- 5 - Du L'arrêt qui précède, dont la rédaction a été approuvée à huis clos, est notifié, par l'envoi de photocopies, à : - M. M.________, - Direction générale des affaires institutionnelles et des communes (pour l’Etat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