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KC22.013578 vom 7. Dezember 2022</w:t>
      </w:r>
    </w:p>
    <w:p>
      <w:r>
        <w:t>VD Tribunal cantonal, 2022-12-07, FR</w:t>
      </w:r>
    </w:p>
    <w:p>
      <w:r>
        <w:rPr>
          <w:b/>
        </w:rPr>
        <w:t xml:space="preserve">Quelle: </w:t>
      </w:r>
      <w:r>
        <w:t>https://mcp.opencaselaw.ch/entscheid/vd_gerichte_KC22.013578</w:t>
      </w:r>
    </w:p>
    <w:p>
      <w:r>
        <w:t>FR: VD_GERICHTE KC22.013578 du 7 décembre 2022</w:t>
      </w:r>
    </w:p>
    <w:p>
      <w:r>
        <w:t>IT: VD_GERICHTE KC22.013578 del 7 dicembre 2022</w:t>
      </w:r>
    </w:p>
    <w:p>
      <w:pPr>
        <w:pStyle w:val="Heading2"/>
      </w:pPr>
      <w:r>
        <w:t>Volltext</w:t>
      </w:r>
    </w:p>
    <w:p>
      <w:r>
        <w:t>TRIBUNAL CANTONAL KC22.013578-221241 199 CO UR DE S P OURSUITES ET FAILL ITES ________________________________________________ Arrêt du 7 décembre 2022 __________________ Composition :M. HACK, président Mmes Byrde et Rouleau, juges Greffier : Mme Joye ***** Art. 321 al. 1 CPC Vu la décision rendue sous forme de dispositif le 12 juillet 2022, par laquelle le Juge de paix des districts du Jura-Nord vaudois et Gros-de-Vaud a prononcé la mainlevée définitive de l’opposition formée par V.________, à Cugy, à la poursuite n° 10'360’439 de l’Office des poursuites du district du Gros-de-Vaud introduite par l’ETAT DE VAUD, représenté par la Direction générale des affaires institutionnelles et des communes (DGAIC), Direction du recouvrement - CHUV, à Lausanne, et mis les frais judiciaires, par 90 fr., à la charge du poursuivi, vu les motifs de la décision adressés aux parties le 14 septembre 2022 et notifiés au poursuivi le lendemain, 111</w:t>
      </w:r>
    </w:p>
    <w:p>
      <w:r>
        <w:t>- 2 - vu le recours formé contre cette décision par le poursuivi par acte déposé le 21 septembre 2022, vu les autres pièces au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w:t>
      </w:r>
    </w:p>
    <w:p>
      <w:r>
        <w:t>- 3 -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en l’espèce, que dans son acte de recours, le recourant indique qu’« aucune loi ne permet d’exiger le paiement d’une prestation qui n’a jamais été demandée ni même reçue » et qu’il « ne répondrai[t] plus à aucune sollicitation au sujet d’une affaire qui ne [le] concerne pas », que ce faisant, il ne soulève aucun grief ou moyen de recours contre les considérants topiques du prononcé de la juge de paix, selon lesquels le poursuivant est au bénéfice d’une décision exécutoire valant titre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w:t>
      </w:r>
    </w:p>
    <w:p>
      <w:r>
        <w:t>- 4 - qu’il doit dès lors être déclaré irrecevable ; attendu que même s'il avait été recevable, le recours aurait dû être rejeté, qu’en effet, la requête de mainlevée est fondée sur une décision rendue par la Justice de paix du district du Jura-Nord vaudois le 31 janvier 2022, attestée définitive et exécutoire, mettant à la charge du poursuivi les frais judiciaires de la cause, par 150 fr., qu’il devait rembourser au poursuivant, que cette décision constitue un titre de mainlevée définitive au sens de l'art. 80 LP (loi fédérale du 11 avril 1889 sur la poursuite pour dettes et la faillite ; RS 281.1) pour le montant réclamé en poursuite, que dans la procédure de mainlevée définitive, le juge ne peut ni revoir, ni interpréter le titre de mainlevée qui est produit (TF 5A_770/2011, consid. 4.1; ATF 124 III 501 consid. 3a ; ATF 113 III 6 consid. 1b ; CPF, 17 juillet 2014/267) et n’est pas habilité à remettre en question le bien-fondé de la décision produite en se livrant à des considérations relevant du droit de fond relative à l'existence matérielle de la créance (ATF 140 III 180 consid. 5.2.1; ATF 113 III 6, JT 1989 II 70) ; attendu que le présent arrêt peut être rendu sans frais (art. 11 TFJC [tarif des frais judiciaire civils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V.________, - Direction générale des affaires institutionnelles et des communes (DGAIC), Direction du recouvrement – CHUV (pour l’Etat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 le Juge de paix des districts du Jura-Nord vaudois et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