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KC22.012110 vom 2. Mai 2023</w:t>
      </w:r>
    </w:p>
    <w:p>
      <w:r>
        <w:t>VD Tribunal cantonal, 2023-05-02, FR</w:t>
      </w:r>
    </w:p>
    <w:p>
      <w:r>
        <w:rPr>
          <w:b/>
        </w:rPr>
        <w:t xml:space="preserve">Quelle: </w:t>
      </w:r>
      <w:r>
        <w:t>https://mcp.opencaselaw.ch/entscheid/vd_gerichte_KC22.012110</w:t>
      </w:r>
    </w:p>
    <w:p>
      <w:r>
        <w:t>FR: VD_GERICHTE KC22.012110 du 2 mai 2023</w:t>
      </w:r>
    </w:p>
    <w:p>
      <w:r>
        <w:t>IT: VD_GERICHTE KC22.012110 del 2 maggio 2023</w:t>
      </w:r>
    </w:p>
    <w:p>
      <w:pPr>
        <w:pStyle w:val="Heading2"/>
      </w:pPr>
      <w:r>
        <w:t>Volltext</w:t>
      </w:r>
    </w:p>
    <w:p>
      <w:r>
        <w:t>TRIBUNAL CANTONAL KC22.012110-230295 43 CO UR DE S P OURSUITES ET FAILL ITES ________________________________________________ Arrêt du 2 mai 2023 ________________ Composition :M. HACK, président Mmes Byrde et Cherpillod, juges Greffier : M. Elsig ***** Art. 321 al. 1 CPC Vu le prononcé non motivé rendu le 2 juin 2022 par la Juge de paix du district de Nyon à la suite de l’audience du même jour, prononçant, à concurrence de 10'725 fr., avec intérêt à 5 % l’an dès le 1er juin 2021 et de 990 fr. avec intérêt à 5 % l’an dès le 1er juin 2021, la mainlevée provisoire de l’opposition formée par K.________ (ci-après : la recourante), à [...], au commandement de payer n° 10'250'639 de l’Office des poursuites du district de Nyon, notifié à la réquisition de S.________ SA, (ci-après : l’intimée), à [...], rejetant pour le surplus la requête de mainlevée, arrêtant à 360 fr. les frais judiciaires, les mettant à la charge de la poursuivante à concurrence de 144 fr. et à charge de la poursuivie à hauteur de 216 fr. et disant qu’en conséquence, la poursuivie 111</w:t>
      </w:r>
    </w:p>
    <w:p>
      <w:r>
        <w:t>- 2 - rembourserait à la poursuivante une partie de son avance de frais, par 144 fr. et lui verserait des dépens fixés à 675 fr., vu l’avis de notification de cette décision à la recourante le 8 juin 2022, vu la plainte déposée le 8 juin 2022 par la recourante contre le prononcé attaqué, la partie adverse et le conseil de celle-ci, vu les pièces produites avec la plainte, vu les motifs du prononcé adressés aux parties le 2 février 2023,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w:t>
      </w:r>
    </w:p>
    <w:p>
      <w:r>
        <w:t>- 3 - qu’en l’espèce le prononcé non motivé a été notifié à la recourante le 8 juin 2022, que la plainte, valant recours, du même jour de la recourante a été déposée en temps utile ; attendu que, selon l’art. 138 al. 3 let. a CPC,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qu’en particulier, si une partie change de domicile en cours de procédure et n’en informe pas l’autorité judiciaire, les notifications sont réputées effectuées à l’ancienne adresse en application de l’art. 138 al. 3 let. a CPC (TF 4A_578/2014 du 23 février 2015 consid. 3.2.1 qu’en l’espèce le pli contenant la motivation du prononcé a été avisé pour retrait le 3 février 2023 et a été retourné par la poste au greffe de la justice de paix avec la mention « le destinataire est introuvable à l’adresse indiquée », que la recourante ayant participé à la procédure en s’opposant au prononcé non motivé par courrier du 8 août 2022, la règle de l’art. 138 al. 3 let. a CPC s’applique, que la motivation de prononcé est ainsi réputée avoir été notifiée à la recourante le 10 février 2023 ;</w:t>
      </w:r>
    </w:p>
    <w:p>
      <w:r>
        <w:t>- 4 -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dans son écriture du 8 août 2022, la recourante invoque, comprend-on, que le loyer litigieux lui aurait été versé par la Ville de [...] et qu’elle aurait dû l’utiliser autrement que pour payer son loyer,</w:t>
      </w:r>
    </w:p>
    <w:p>
      <w:r>
        <w:t>- 5 - qu’elle ne serait donc pas responsable de la dette objet du commandement de payer, le loyer étant garanti et dû par la Ville de [...], que, ce faisant, elle ne discute aucunement la motivation du prononcé qui retient que le contrat de bail signé le 4 avril 2018 par la recourante constituait une reconnaissance de celle-ci de la dette de loyer et des acomptes de charge, dès lors que les locaux avaient été mis à sa disposition, et permettait donc de lever provisoirement son opposition au commandement de payer qui lui avait été notifié à la réquisition de l’intimée, que l’écriture du 8 août 2022 ne satisfait donc pas aux exigences de motivation de l’art. 321 al. 1 CPC et à la jurisprudence susmentionnée, que la recourante n’a déposé aucune autre écriture dans le délai de recours échéant le 10 février 2023, que le recours est ainsi irrecevable ; attendu qu’au demeurant, ce n’est pas au bailleur, qui a mis a disposition les locaux, de supporter les conséquence du litige entre la recourante et la Ville de [...], que ce serait dès lors en vain que le recourante, qui a signé le bail, exige en procédure de mainlevée de la société bailleresse que celle-ci réclame la somme en poursuite à un tiers au contrat de bail, que par ailleurs, le droit suisse autorise un titulaire d’une créance incertaine à introduire une poursuite contre un prétendu débiteur, dès lors que ce dernier peut, par une simple opposition, forcer le prétendu créancier à établir devant le juge de la mainlevée qu’il bénéficie d’une reconnaissance de dette valant titre à la mainlevée provisoire selon l’art. 82 LP, puis même en cas d’admission de cette requête, forcer le créancier</w:t>
      </w:r>
    </w:p>
    <w:p>
      <w:r>
        <w:t>- 6 - à prouver définitivement sa prétention en ouvrant action en libération de dette devant le juge ordinaire, qu’ainsi le recours déposé le 8 août 2022 par la recourante contre l’intimée et son conseil est dénuée de tout fondement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Mme K.________, - Mme Laura Emilia Jaatinen Fernandez, agent d’affaires breveté (pour S.________ SA).</w:t>
      </w:r>
    </w:p>
    <w:p>
      <w:r>
        <w:t>- 7 - La Cour des poursuites et faillites considère que la valeur litigieuse est de 11’625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