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KC22.011734 vom 21. November 2022</w:t>
      </w:r>
    </w:p>
    <w:p>
      <w:r>
        <w:t>VD Tribunal cantonal, 2022-11-21, FR</w:t>
      </w:r>
    </w:p>
    <w:p>
      <w:r>
        <w:rPr>
          <w:b/>
        </w:rPr>
        <w:t xml:space="preserve">Quelle: </w:t>
      </w:r>
      <w:r>
        <w:t>https://mcp.opencaselaw.ch/entscheid/vd_gerichte_KC22.011734</w:t>
      </w:r>
    </w:p>
    <w:p>
      <w:r>
        <w:t>FR: VD_GERICHTE KC22.011734 du 21 novembre 2022</w:t>
      </w:r>
    </w:p>
    <w:p>
      <w:r>
        <w:t>IT: VD_GERICHTE KC22.011734 del 21 novembre 2022</w:t>
      </w:r>
    </w:p>
    <w:p>
      <w:pPr>
        <w:pStyle w:val="Heading2"/>
      </w:pPr>
      <w:r>
        <w:t>Erwägungen</w:t>
      </w:r>
    </w:p>
    <w:p>
      <w:r>
        <w:rPr>
          <w:b/>
        </w:rPr>
        <w:t>E. 1</w:t>
      </w:r>
    </w:p>
    <w:p>
      <w:r>
        <w:t>Le 22 février 2022, à la réquisition de Z.________ SA, l’Office des poursuites du district d’Aigle a notifié à O.________, dans la poursuite n° 10'309'962, un commandement de payer les sommes de 1) 6'651 fr. 35 avec intérêt à 5 % l’an dès le 5 mai 2020, 2) 2'700 fr. avec intérêt à 5 % l’an dès le 20 mai 2020, 3) 3'500 fr. avec intérêt dès le 5 mai 2020 et 4) 3'500 fr. avec intérêt à 5 % l’an dès le 5 mai 2020, indiquant comme titre de la créance ou cause de l’obligation : « 1. Concerne [...]. Solde de la facture n° [...]40 de 7'678.75, début des intérêt dès le 5 mai 2020, date du premier avertissement. Acompte du 29.06.2020 de 1'500.- à déduire des intérêts</w:t>
      </w:r>
    </w:p>
    <w:p>
      <w:r>
        <w:rPr>
          <w:b/>
        </w:rPr>
        <w:t>E. 2</w:t>
      </w:r>
    </w:p>
    <w:p>
      <w:r>
        <w:t>Loyer novembre 2019</w:t>
      </w:r>
    </w:p>
    <w:p>
      <w:r>
        <w:rPr>
          <w:b/>
        </w:rPr>
        <w:t>E. 3</w:t>
      </w:r>
    </w:p>
    <w:p>
      <w:r>
        <w:t>Loyer mars 2020</w:t>
      </w:r>
    </w:p>
    <w:p>
      <w:r>
        <w:rPr>
          <w:b/>
        </w:rPr>
        <w:t>E. 4</w:t>
      </w:r>
    </w:p>
    <w:p>
      <w:r>
        <w:t>Par acte du 25 août 2022, la poursuivante a recouru contre ce prononcé en concluant à ce que la mainlevée provisoire soit accordée sur l’entier de la créance en poursuite. Elle a produit dix pièces.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w:t>
      </w:r>
    </w:p>
    <w:p>
      <w:r>
        <w:t>- 9 - Les pièces produites avec le recours sous nos 1, 1a, 2, 4 et 5 figurent déjà au dossier de première instance. Elles sont donc recevables. En revanche, les pièces produites sous n° 3 l’ont été uniquement en recours et sont donc irrecevables vu la prohibition des preuves nouvelles prévue à l’art. 326 al. 1 CPC. II. La recourante se plaint de l’autorité précédente en ce sens qu’il l’a trouvée agressive, peu à son écoute, trop à l’écoute de la partie adverse. Elle indique qu’elle avait eu l’impression que l’autorité précédente n’avait pas pris connaissance du dossier et relève que l’audience avait été brève, la juge de paix insistant pour la conclusion d’un arrangement. Elle s’étonne que l’autorité précédente n’ait jamais parlé de reconnaissance de dette avant sa dernière décision, qu’elle ait modifié la première décision rendue sur ce point, et que ces décisions ne reflétaient pas le contenu de l’audience. a) A teneur de l'art. 47 al. 1 let. f CPC, les magistrats et les fonctionnaires judiciaires se récusent lorsqu'ils pourraient être prévenus d'une quelconque manière, notamment en raison d'un rapport d'amitié ou d'inimitié avec une partie ou son représentant. aa) La garantie d'un tribunal indépendant et impartial résultant des art. 30 al. 1 Cst. (Constitution fédérale du 18 avril 1999 ; RS 101) et 6 par. 1 CEDH (Convention du 4 novembre 1950 de sauvegarde des droits de l'homme et des libertés fondamentales ; RS 0.101) – qui ont, de ce point de vue, la même portée – permet de demander la récusation d'un juge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w:t>
      </w:r>
    </w:p>
    <w:p>
      <w:r>
        <w:t>- 10 - une activité partiale du magistrat. Cependant, seules les circonstances objectivement constatées doivent être prises en compte, les impressions purement individuelles n'étant pas décisives (ATF 140 III 221 consid. 4.1 ; ATF 139 III 120 consid. 3.2.1 ; ATF 139 I 121 consid. 5.1 ; ATF 138 I 1 consid. 2.2 ; ATF 138 IV 142 consid. 2.1). En règle générale, le juge peut proposer aux parties des solutions transactionnelles sans se départir de son impartialité, ce pour autant qu’il ne laisse pas apparaître comme tranchée une question de fait non encore instruite ou s’engage d’une manière qui ôte tout doute au fait qu’une autre appréciation de la situation en fait ou en droit pourrait être encore possible au vu de développements à intervenir (ATF 131 I 113 consid. 3.6, RDAF 2006 I 571 ; ATF 119 Ia 81 consid. 4b ; TF 5A_382/2007 du 25 février 2008 consid. 3.2.2 et références). De même, si le juge doit faire preuve de la distance professionnelle nécessaire et s'exprimer ainsi avec la retenue requise, des réactions d'impatience sont inévitables de la part d'êtres humains exerçant des fonctions judiciaires ; ceux-ci doivent veiller à garder leur sang-froid en toutes circonstances, sans que cela ne les empêche toutefois de porter des appréciations critiques sur la manière dont une partie mène le procès (TF 5A_485/2015 du 2 octobre 2015 consid. 2.3.2 et références ; TF 1P.687/2005 du 9 janvier 2006 consid. 7.2; TF 1P.314/2001 du 2 juillet 2001 consid. 1). Ils ne peuvent en revanche généralement émettre un jugement de valeur sur la partie elle-même sans donner l'apparence d'une certaine prévention (ATF 127 I 196 consid. 2d; ATF 120 V 357 consid. 3b; TF 5A_485/2016 précité ; TF 1B_303/2008 du 25 mars 2009 consid. 2.4).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w:t>
      </w:r>
    </w:p>
    <w:p>
      <w:r>
        <w:t>- 11 - moins objectivement l'apparence de prévention (ATF 141 IV 178 consid. 3.2.3 ; ATF 138 IV 142 consid. 2.3).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cc) A teneur de l'art. 49 al. 1 CPC, la partie qui entend obtenir la récusation d'un magistrat ou d'un fonctionnaire judiciaire la demande au tribunal aussitôt qu'elle a eu connaissance du motif de récusation. Le laps de temps entre le moment où la partie a connaissance du motif de récusation et celui où elle dépose sa demande doit être bref, la diligence de la partie qui demande la récusation devant être appréciée en fonction du principe de la bonne foi (Bohnet, CPC annoté, 2022, n. 1 ad art. 49 CPC). Toutefois lorsque l’apparence de prévention est évidente et que le juge aurait dû se récuser spontanément, le vice doit être apprécié avec plus de rigueur qu’une éventuelle tardiveté de la demande de récusation (ATF 134 I 20 consid. 4.3.2 ; TF 4A_151/2019 du 3 octobre 2014 consid. 2.1, Bohnet, loc. cit.). Une demande de récusation déposée quarante jours après la connaissance du motif est manifestement incompatible avec l’art. 49 al. 1 CPC (TF 4A_272/2021 du 26 août 2021 consid. 3.1.3 et références ; Bohnet, loc. cit.). En règle générale, il est contraire aux règles de la bonne foi de garder en réserve un moyen tiré de la garantie du tribunal indépendant et impartial pour ne l’invoquer qu’en cas d’issue défavorable de la procédure (ATF 136 III 605 consid. 3.2.2. ; TF 4A_272/2021 précité). Si le motif de récusation est découvert après la décision attaquable rendue, mais avant l'écoulement du délai de recours, autrement dit avant que la décision litigieuse soit revêtue de la force de chose jugée formelle, il doit être invoqué dans le cadre de ce recours (ATF 139 III 466 consid. 3.4, JdT 2015 II 439 ; ATF 139 III 120 consid. 2 et 3.1.1 ; ATF 138 III 702 consid. 3.4, JdT 2016 II 320 ; TF 4A_330/2018 du 3 juillet</w:t>
      </w:r>
    </w:p>
    <w:p>
      <w:r>
        <w:t>- 12 - 2018 ; Colombini, Code de procédure civile, Condensé de la jurisprudence fédérale et vaudoise, 2018, n. 2.1 ad art. 51 CPC). b) En l’espèce, la recourante reproche à l’autorité précédente son attitude durant l’audience du 17 mai 2022. A part le reproche de n’avoir pas étudié le dossier, soulevé dans l’écriture du 7 juin 2022, elle n’a cependant fait valoir ses griefs que dans son recours du 25 août 2022, soit bien plus de quarante jours après l’audience en cause. En outre, l’attitude de l’autorité précédente telle qu’elle est présentée dans le recours ne procède pas d’un cas manifeste de partialité ouvrant l’obligation de se récuser spontanément. En outre, la recourante se plaint en vain du fait que l’autorité précédente n’aurait pas évoqué la notion de reconnaissance de dette et d’obligation de présenter un document signé avant la motivation du 12 août 2022. En effet, un juge ne saurait orienter une partie sur les arguments à développer et les pièces à produire devant lui sans précisément violer son devoir d’impartialité. De même, la motivation du prononcé, qui doit permettre aux parties de comprendre sur quels éléments factuels et juridiques le juge s’est fondé pour rendre sa décision (Tappy, in Bohnet/Haldy/Jeandin/Schweizer/Tappy (éd.), Commentaire romand, 2e éd., 2019, n. 17 ad art. 239 CPC) et leur permettre le cas échéant de l’attaquer en connaissance de cause, n’a donc pas à rendre compte objectivement de ce qui s’est passé à l’audience, mais exposer les convictions du juge lorsque celui-ci ne juge pas probants certains éléments de fait apportés par les parties (ibidem). En outre, le recourant n’émet aucun grief de même nature à l’égard du procès-verbal d’audience. Le grief de partialité est donc là également mal fondé. Le recours doit être rejeté sur ce point.</w:t>
      </w:r>
    </w:p>
    <w:p>
      <w:r>
        <w:t>- 13 - III. La recourante demande sur quelle base légale se fonde le fait que les considérations sur la reconnaissance de dette et la nécessité de présenter un document signé du débiteur n’ont été mentionnées que dans la décision adressée aux parties du 12 août 2022 et non déjà dans celle du 3 juin 2022. Elle soutient que cette dernière décision a été modifiée sans justification. a) Selon l’art. 239 al. 1 let. b CPC, le tribunal peut communiquer la décision aux parties sans motivation écrite, notamment en notifiant le dispositif écrit, savoir ce que le juge ordonne, constate ou fixe (Habscheid, Droit judiciaire privé suisse, 2e éd, 1981, p. 290). L’art. 239 al. 2 CPC précise que dans cette hypothèse une motivation écrite est remise aux parties si l’une d’elle le demande dans un délai de dix jours à compter de la communication de la décision. Si la motivation n’est pas demandée, les parties sont considérées avoir renoncé à l’appel ou au recours. b) En l’espèce, l’autorité précédente a fait usage de la possibilité offerte par l’art. 239 al. 1 let. b CPC en adressant le 3 juin 2022 en vue de notification aux parties un prononcé sans motivation, ne comportant que la décision de prendre acte du retrait partiel de l’opposition du poursuivi à concurrence de 7'000 fr. plus intérêt à 5 % l’an dès le 5 mai 2020, de rejeter la requête de mainlevée pour le surplus, de fixer les frais judiciaires à 360 fr., de les mettre partiellement à la charge du poursuivi et de condamner celui-ci à rembourser à la poursuivante 154 fr. à titre de restitution partielle d’avance de frais, sans allocation de dépens. L’autorité précédente n’avait pas à ce stade à expliquer les motifs de cette décision, vu la teneur de l’art. 239 al. 1 let. b CPC. Par acte du 7 juin 2022, la recourante s’est opposée au prononcé susmentionné en formulant diverses critiques à l’égard de l’autorité précédente témoignant de son profond mécontentement. Cet acte a été déposé dans le délai de dix jours de l’art. 239 al. 2 CPC et même s’il ne demandait pas formellement la motivation du prononcé, il</w:t>
      </w:r>
    </w:p>
    <w:p>
      <w:r>
        <w:t>- 14 - devait être considéré comme une telle demande par l’autorité précédente (Tappy, op. cit., n. 15a ad art. 239 CPC et références). Ainsi, l’autorité précédente a motivé le prononcé le 22 août 2022, sans changer le contenu de la décision, vu la formule suivante figurant en fin de prononcé en page 4 « Par ces motifs / le juge de paix/ rend le dispositif adressé aux parties le 3 juin 2020 ». Le recours doit être rejeté sur ce point. IV. La recourante conteste la validité de l’opposition formée par l’intimé dans son courrier du 27 février 2022, dès lors qu’il ne l’a motivée que sur le point des charges locatives. Il soutient en conséquence que cette opposition devait être considérée comme partielle. Toutefois, c’est par la voie de la plainte selon l’art. 17 LP (loi fédérale du 11 avril 1889 sur la poursuite pour dettes et la faillite, RS 281.1) qu’il convient de contester la validation par l’office des poursuites de l’opposition au commandement de payer (Gilliéron, Poursuite pour dettes, faillite et concordat, 5e éd., n° 694, p. 166), de sorte que ce moyen est irrecevable en procédure de mainlevée. Au demeurant, l’opposition, qui n’a pas à être motivée (Gilliéron, op. cit., n° 676, p. 163), doit, si elle veut être considérée comme partielle, indiquer exactement le montant contesté, faute de quoi elle est considérée comme totale (art. 74 al. 2 LP). Le moyen doit être rejeté dans la mesure de sa recevabilité. V. La recourante fait valoir qu’un contrat de bail peut être conclu oralement, qu’une pièce au dossier atteste que l’intimé s’est acquitté d’acomptes pour cette période, établissant l’existence d’un contrat de bail avant le 1er février 2020, que l’intimé avait néanmoins « pris en otage » le loyer du mois de novembre 2019, sans mettre en œuvre les moyens juridiques pour obtenir le paiement de ses propres factures. La recourante</w:t>
      </w:r>
    </w:p>
    <w:p>
      <w:r>
        <w:t>- 15 - soutient que les factures de l’intimé ne peuvent lui être opposées, que l’intimé a accepté tacitement la facture n° [...]40 en versant des acomptes et en ne la contestant pas dans le délai imparti par la sommation du 5 mai 2020 et qu’il devait en outre contester cette facture devant la commission de conciliation en matière de baux à loyer s’il trouvait les frais trop élevés. Elle relève qu’à l’audience, l’intimé a signé une reconnaissance de dette, dont il ne s’est acquitté qu’à hauteur de 200 fr., qu’il a disparu en 2016, qu’il retient les montants dus en invoquant des propres factures en compensation, sans que la recourante puisse s’y opposer. Elle fait valoir que les décomptes de loyer produits sont des pièces officielles, car utilisés dans sa déclaration d’impôt et qui établissent l’obligation de l’intimé de payer des loyers avant le 1er février 2020.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143 III 221 consid. 4 ; ATF 142 III 720 consid. 4.1 ; ATF 139 III 444 consid. 4.1.1 ; TF 5A_1023/2018 du 8 juillet 2019 consid.</w:t>
      </w:r>
    </w:p>
    <w:p>
      <w:r>
        <w:t>- 16 - 6.2.4.2 ; Veuillet, in Abbet/Veuillet (éd.), La mainlevée de l’opposition, nn. 32 et 92 ad 82 LP). bb)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cc)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w:t>
      </w:r>
    </w:p>
    <w:p>
      <w:r>
        <w:t>- 17 - poursuivi se prévaut d’une inexécution, l’opposition ne peut être levée que si le créancier poursuivant démontre avoir exécuté ou offert d’exécuter sa propre prestation (ATF 145 III 20 consid. 4.2). b) En l’espèce, les seuls documents signés par l’intimé produits par la recourante sont le bail du 1er février 2020, la transaction partielle figurant sur le procès-verbal de conciliation partielle de la Commission de conciliation en matière de baux à loyer du 9 mars 2021, le courrier du 3 décembre 2021 déclarant s’opposer au décompte de charges, faute de présentation des pièces comptables lui ayant servi de base, et le courrier d’opposition du 27 février 2022 au commandement de payer en cause. La recourante n’est ainsi en possession d’aucune reconnaissance de dette signée par l’intimé portant sur le loyer du mois de novembre 2019, antérieur au contrat de bail produit, et sur le solde de la facture n° [...]40 de charges locatives. L’autorité précédente ne pouvait donc que refuser la mainlevée provisoire sur ces postes du commandement de payer. Dans la mesure où la recourante persiste dans ses conclusions en faisant valoir la mauvaise foi de l’intimé, les versements déjà effectués et l’absence d’opposition au décompte des charges, il lui appartiendra de saisir préalablement l’autorité de conciliation en la matière, puis en cas d’échec de celle-ci, le tribunal compétent au fond pour trancher le litige qui, le cas échéant, condamnera l’intimé au paiement total ou partiel des sommes réclamées par un jugement constituant un titre à la mainlevée définitive. Il convient à cet égard de relever que l’octroi de la mainlevée provisoire par l’autorité précédente ou la cour de céans n’aurait pas forcément entraîné l’obligation pour l’intimé de payer les sommes en poursuite, car l’art. 83 al. 2 LP aurait donné la possibilité à celui-ci de contester sa dette dans un délai de vingt jours auprès du tribunal compétent en la matière, sans obligation de saisir préalablement l’autorité</w:t>
      </w:r>
    </w:p>
    <w:p>
      <w:r>
        <w:t>- 18 - de conciliation (art. 198 let. e ch. 1 CPC). L’intimé ayant retiré son opposition au commandement de payer en cause pour le montant des loyers des mois de mars et d’avril 2020, il a de fait par-là renoncé à contester cette dette par la voie ouverte par l’art. 83 al. 2 LP. Avec l’autorité précédente, il y a lieu de qualifier la situation de compliquée pour des personnes non assistées par un conseil juridique, surtout si l’on sait que les parties ont déjà saisi une fois la commission de conciliation de leur litige. C’est donc en vain que la recourante cherche à établir devant les autorités de la mainlevée, l’existence d’un contrat oral, l’acceptation tacite de la facture n° [...]40 par le paiement d’acomptes, l’absence de contestation dans un délai de trente jours et l’inefficacité de la compensation invoquée par l’intimé. VI. En conclusion, le recours, manifestement mal fondé, doit être rejeté et le prononcé confirmé. Vu le rejet du recours, les frais judiciaires de deuxième instance, arrêtés à 315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