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KC22.011015 vom 30. November 2022</w:t>
      </w:r>
    </w:p>
    <w:p>
      <w:r>
        <w:t>VD Tribunal cantonal, 2022-11-30, FR</w:t>
      </w:r>
    </w:p>
    <w:p>
      <w:r>
        <w:rPr>
          <w:b/>
        </w:rPr>
        <w:t xml:space="preserve">Quelle: </w:t>
      </w:r>
      <w:r>
        <w:t>https://mcp.opencaselaw.ch/entscheid/vd_gerichte_KC22.011015</w:t>
      </w:r>
    </w:p>
    <w:p>
      <w:r>
        <w:t>FR: VD_GERICHTE KC22.011015 du 30 novembre 2022</w:t>
      </w:r>
    </w:p>
    <w:p>
      <w:r>
        <w:t>IT: VD_GERICHTE KC22.011015 del 30 novembre 2022</w:t>
      </w:r>
    </w:p>
    <w:p>
      <w:pPr>
        <w:pStyle w:val="Heading2"/>
      </w:pPr>
      <w:r>
        <w:t>Volltext</w:t>
      </w:r>
    </w:p>
    <w:p>
      <w:r>
        <w:t>TRIBUNAL CANTONAL KC22.011015-221175 192 CO UR DE S P OURSUITES ET FAILL ITES ________________________________________________ Arrêt du 30 novembre 2022 ______________________ Composition :M. HACK, président M. Maillard et Mme Cherpillod, juges Greffier : M. Elsig ***** Art. 321 al. 1 CPC Vu le prononcé non motivé rendu le 19 mai 2022, à la suite de l’interpellation du poursuivi, par la Juge de paix du district de Nyon, notifié au poursuivi le 27 mai 2022, prononçant à concurrence de 5'616 fr. 20 sans intérêt la mainlevée définitive de l’opposition formée par S.________, à [...], au commandement de payer n° 10'266'198 de l’Office des poursuites du district de Nyon, notifié à la réquisition de l’ETAT DE VAUD, représenté par le Département des institutions et du territoire DGAIC, Direction du recouvrement, Note de frais pénaux, à Lausanne, arrêtant les frais judiciaires à 180 fr., les mettant à la charge du poursuivi et disant qu’en conséquence, celui-ci rembourserait au 111</w:t>
      </w:r>
    </w:p>
    <w:p>
      <w:r>
        <w:t>- 2 - poursuivant son avance de frais, par 180 fr. sans allocation de dépens pour le surplus, vu la demande de motivation de ce prononcé déposée le 27 mai 2022 par le poursuivi, qui produit un certificat médical établi le 12 novembre 2021 par un psychiatre attestant qu’il présente un état dépressif et des angoisses sévères en relation notamment avec l’accumulation de difficultés financières, aggravées par les frais judiciaires mis à sa charge, et une demande de remboursement émanant des services sociaux, vu les motifs du prononcé adressés aux parties le 9 septembre 2022 et notifiés au poursuivi le 13 septembre 2022, vu le recours interjeté le 14 septembre 2022 par le poursuivi contre ce prononcé, vu les autres pièces du dossier ; attendu que la demande de motivation et le recours ont été déposés dans les délais de dix jours des art. 239 al. 2 et 321 al. 2 CPC (Code de procédure civile du 19 décembre 2008 ; RS 272)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w:t>
      </w:r>
    </w:p>
    <w:p>
      <w:r>
        <w:t>- 3 -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 attendu que le recourant soutient qu’il a été innocenté dans les procédures pénales ouvertes par son ex-épouse et que c’est donc à elle de supporter les frais réclamés, que ce faisant, il ne discute pas la motivation du prononcé selon laquelle les moyens tiré de l’innocence ou de la culpabilité pénale constituaient des moyens de fond, inopérants en procédure de mainlevée définitive en présence d’une décision définitive et exécutoire, que la motivation du recours ne satisfait donc pas aux exigences de motivation posées par l’art. 321 al. 1 CPC et la jurisprudence susmentionnée, que le recours est irrecevable ;</w:t>
      </w:r>
    </w:p>
    <w:p>
      <w:r>
        <w:t>- 4 - attendu qu’au demeurant, selon le prononcé du Tribunal de police de l’arrondissement de la Côte du 6 août 2021, c’est en raison de l’accord de son ex-épouxe au classement de la procédure, valant retrait de la plainte, que la cessation des poursuites pénales pour voies de fait et menaces qualifiées avait été ordonnée, mais que le tribunal de police avait considéré que le recourant avait causé l’ouverture de la procédure pénale par un comportement à tout le moins civilement répréhensible, ce qui justifiait la mise à sa charge des frais de justice ; attendu que l’arrêt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w:t>
      </w:r>
    </w:p>
    <w:p>
      <w:r>
        <w:t>- 5 - - M. S.________, - Département des Institutions et du Territoire, DGAIC (pour Etat de Vaud).. La Cour des poursuites et faillites considère que la valeur litigieuse est de 5'615 fr. 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