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KC22.010732 vom 5. Dezember 2022</w:t>
      </w:r>
    </w:p>
    <w:p>
      <w:r>
        <w:t>VD Tribunal cantonal, 2022-12-05, FR</w:t>
      </w:r>
    </w:p>
    <w:p>
      <w:r>
        <w:rPr>
          <w:b/>
        </w:rPr>
        <w:t xml:space="preserve">Quelle: </w:t>
      </w:r>
      <w:r>
        <w:t>https://mcp.opencaselaw.ch/entscheid/vd_gerichte_KC22.010732</w:t>
      </w:r>
    </w:p>
    <w:p>
      <w:r>
        <w:t>FR: VD_GERICHTE KC22.010732 du 5 décembre 2022</w:t>
      </w:r>
    </w:p>
    <w:p>
      <w:r>
        <w:t>IT: VD_GERICHTE KC22.010732 del 5 dicembre 2022</w:t>
      </w:r>
    </w:p>
    <w:p>
      <w:pPr>
        <w:pStyle w:val="Heading2"/>
      </w:pPr>
      <w:r>
        <w:t>Volltext</w:t>
      </w:r>
    </w:p>
    <w:p>
      <w:r>
        <w:t>TRIBUNAL CANTONAL KC22.010732-221299 218 CO UR DE S P OURSUITES ET FAILL ITES ________________________________________________ Arrêt du 5 décembre 2022 __________________ Composition :M. HACK, président Mme Byrde et M. Maillard, juges Greffier : Mme Joye ***** Art. 321 al. 1 CPC Vu la décision rendue sous forme de dispositif le 15 juin 2022, par laquelle la Juge de paix du district de l’Ouest lausannois a rejeté la requête de mainlevée définitive d’opposition déposée par L.________, à Lausen (BL), dans la poursuite n° 10'316’025 de l’Office des poursuites du même district exercée à son instance contre H.________, à Prilly, et mis les frais judici-aires, par 180 fr., à la charge de la poursuivante, vu les motifs de la décision adressés aux parties le 20 septembre 2022 et notifiés à la poursuivante le lendemain, 111</w:t>
      </w:r>
    </w:p>
    <w:p>
      <w:r>
        <w:t>- 2 - vu le recours formé contre cette décision par la poursuivante par acte déposé le 29 septembre 2022, vu les écritures déposées par la recourante le 2 novembre 2022, vu les autres pièces au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du 29 septembre 2022 a été déposé en temps utile, que tel n’est en revanche pas le cas des écritures de la recourante du 2 novembre 2022, déposées largement après l’échéance du délai de recours, qui sont dès lors irrecevables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w:t>
      </w:r>
    </w:p>
    <w:p>
      <w:r>
        <w:t>- 3 -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attendu, en l’espèce, que dans son acte de recours, la recourante pose une série de questions sur la procédure, se plaint de ne pas avoir été entendue, et indique avoir été « dépouillée » et « volée » par le poursuivi qui serait « dangereux pour la société »,</w:t>
      </w:r>
    </w:p>
    <w:p>
      <w:r>
        <w:t>- 4 - que ce faisant, elle ne soulève aucun grief ou moyen de recours contre les considérants topiques du prononcé de la juge de paix, qui a retenu que la poursuivante n’était pas au bénéfice d’un jugement exécutoire valant titre de main-levée définitive d’opposition au sens de l’art. 80 LP (loi fédérale sur la poursuite pour dettes et la faillite ; RS 281.1) et que la convention du 19 septembre 2021 qu’elle a produite ne permettait pas non plus de prononcer la mainlevée provisoire (art. 82 LP) pour divers motifs (absence d’exigibilité des créances figurant dans la convention ; absence de réalisation d’une condition suspensive qui y est stipulée et absence de reconnaissance de dette pour une partie des créances réclamées en poursuite), que le recours n’est ainsi pas motivé de manière conforme aux exigences posées par la loi et la jurisprudence, ni ne contient de conclusions chiffrées, qu’il doit dès lors être déclaré irrecevable ; attendu que l’on peut préciser qu’en procédure sommaire, applicable en matière de mainlevée (art. 251 let. a CPC), la loi garantit le droit d'être entendu des parties, mais ne donne pas droit à la tenue d'une audience (TF 5D_40/2020 du 19 août 2020 consid. 3.2 et les références), le tribunal pouvant rendre sa décision en renonçant aux débats et en statuant sur pièces (art. 256 al. 1 CPC), comme en l’espèce, que la procédure de mainlevée provisoire, ou définitive, est une procédure sur pièces, dont le but n’est pas de constater la réalité de la créance en poursuite, mais l’existence d’un titre exécutoire, le juge examinant uniquement la force probante du titre produit par le poursuivant, en vérifiant notamment l'existence d'une reconnaissance de dette (ATF 142 III 720 consid. 4.1) et l’exigibilité de la créance au moment de l’introduction de la poursuite (ATF 140 III 456 consid. 2.4),</w:t>
      </w:r>
    </w:p>
    <w:p>
      <w:r>
        <w:t>- 5 - que la recourante a toujours la possibilité d’agir devant le juge civil ordinaire en demandant que l’intimé soit condamné à lui payer les montants en cause ; attendu que le présent arrêt peut être rendu sans frais (art. 11 TFJC [tarif des frais judiciaire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L.________, - M. H.________. Vu l’absence de conclusions chiffrées, la Cour des poursuites et faillites ne peut pas déterminer la valeur litigieuse.</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