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KC22.010568 vom 8. Juli 2022</w:t>
      </w:r>
    </w:p>
    <w:p>
      <w:r>
        <w:t>VD Tribunal cantonal, 2022-07-08, FR</w:t>
      </w:r>
    </w:p>
    <w:p>
      <w:r>
        <w:rPr>
          <w:b/>
        </w:rPr>
        <w:t xml:space="preserve">Quelle: </w:t>
      </w:r>
      <w:r>
        <w:t>https://mcp.opencaselaw.ch/entscheid/vd_gerichte_KC22.010568</w:t>
      </w:r>
    </w:p>
    <w:p>
      <w:r>
        <w:t>FR: VD_GERICHTE KC22.010568 du 8 juillet 2022</w:t>
      </w:r>
    </w:p>
    <w:p>
      <w:r>
        <w:t>IT: VD_GERICHTE KC22.010568 del 8 luglio 2022</w:t>
      </w:r>
    </w:p>
    <w:p>
      <w:pPr>
        <w:pStyle w:val="Heading2"/>
      </w:pPr>
      <w:r>
        <w:t>Volltext</w:t>
      </w:r>
    </w:p>
    <w:p>
      <w:r>
        <w:t>TRIBUNAL CANTONAL KC22.010568-220662 82 CO UR DE S P OURSUITES ET FAILL ITES ________________________________________________ Arrêt du 8 juillet 2022 _________________ Composition :M. HACK, président Mme Rouleau et M. Maillard, juges Greffier : M. Elsig ***** Art. 321 al. 1, 326 al. 1 CPC Vu le prononcé non motivé rendu le 10 mai 2022 à la suite de l’interpellation du poursuivi, par la Juge de paix du district d’Aigle, notifié au poursuivi le 13 mai 2022, prononçant à concurrence des montants en poursuite la mainlevée définitive de l’opposition formée par Q.________, à [...], au commandement de payer n° 10'196'574 de l’Office des poursuites du district d’Aigle, notifié à la réquisition de l’ETAT DE VAUD, représenté par l’Office d’impôt des districts de la Riviera-Pays-d’Enhaut et Lavaux-Oron¸ à Vevey, arrêtant les frais judiciaires à 90 fr., les mettant à la charge du poursuivi et disant qu’en conséquence, celui-ci rembourserait au poursuivant son avance de frais, par 90 fr., sans allocation de dépens pour le surplus, 111</w:t>
      </w:r>
    </w:p>
    <w:p>
      <w:r>
        <w:t>- 2 - vu la demande de motivation de ce prononcé envoyée par le poursuivi, datée du 14 mai 2022 et reçue par le greffe de la justice de paix le 18 mai 2022, vu les motifs du prononcé adressés aux parties le 27 mai 2022 et notifiés au poursuivi le 30 mai 2022, vu l’écriture du poursuivi, datée du 31 mai 2022 et reçue par le greffe de la cour de céans le 2 juin 2022, contestant notamment le prononcé susmentionné et requérant qu’il soit ordonné la production de la totalité du dossier fiscal de l’intéressé afin de lui fournir des preuves à l’appui de sa contestation, vu les autres pièces du dossier ; attendu que la demande de motivation et le recours ont été déposés dans les délais de dix jours des art. 239 al. 2 et 321 al. 2 CPC (Code de procédure civile du 19 décembre 2008 ; RS 272) ; attendu que le recourant requiert la production de la totalité de son dossier fiscal pour étayer ses critiques, que cette réquisition se heurte à l’interdiction prévue par l’art. 326 al. 1 CPC de produire des pièces nouvelles dans le cadre du recours des art. 319 ss CPC, qu’elle est en conséquence irrecevable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w:t>
      </w:r>
    </w:p>
    <w:p>
      <w:r>
        <w:t>- 3 -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(ATF 147 III 176 consid. 4.2.1 ;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que ni l’art. 132 al. 1 et 2 ni l’art. 56 CPC ne sont applicables en cas d’absence de motivation d’un acte de recours (TF 5D_43/2019 précité ; TF 5A_387/2016 précité ; RSPC 6/2015 pp. 512 s. précité, et les arrêts cités), qu’en l’espèce, le recourant déclare contester le prononcé du 10 mai 2022, mais ne détaille pas les points de la motivation dudit prononcé qu’il considère comme erronés, qu’en outre, le dossier fiscal du recourant, dont celui-ci requiert en vain la production, ne saurait entraîner la modification du prononcé attaqué, le juge de la mainlevée n’étant pas habilité à revoir le bien-fondé de la décision au fond dont l’exécution est demandée (ATF 143 III 564 consid. 4.3.1 ; ATF 142 III 78 consid. 3.1 ; ATF 140 III 180 consid. 5.2.1 ; ATF 124 III 501 consid. 3a),</w:t>
      </w:r>
    </w:p>
    <w:p>
      <w:r>
        <w:t>- 4 - que le recours ne satisfait ainsi pas aux exigences de motivation de l’art. 321 al. 1 CPC et de la jurisprudence susmentionnée, qu’il est en conséquence irrecevable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 - M. Q.________, - Office l’impôt des districts de la Riviera-Pays-d’Enhaut et Lavaux-Oron. La Cour des poursuites et faillites considère que la valeur litigieuse est de 374 fr. 45.</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