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KC22.005533 vom 6. Oktober 2022</w:t>
      </w:r>
    </w:p>
    <w:p>
      <w:r>
        <w:t>VD Tribunal cantonal, 2022-10-06, FR</w:t>
      </w:r>
    </w:p>
    <w:p>
      <w:r>
        <w:rPr>
          <w:b/>
        </w:rPr>
        <w:t xml:space="preserve">Quelle: </w:t>
      </w:r>
      <w:r>
        <w:t>https://mcp.opencaselaw.ch/entscheid/vd_gerichte_KC22.005533</w:t>
      </w:r>
    </w:p>
    <w:p>
      <w:r>
        <w:t>FR: VD_GERICHTE KC22.005533 du 6 octobre 2022</w:t>
      </w:r>
    </w:p>
    <w:p>
      <w:r>
        <w:t>IT: VD_GERICHTE KC22.005533 del 6 ottobre 2022</w:t>
      </w:r>
    </w:p>
    <w:p>
      <w:pPr>
        <w:pStyle w:val="Heading2"/>
      </w:pPr>
      <w:r>
        <w:t>Volltext</w:t>
      </w:r>
    </w:p>
    <w:p>
      <w:r>
        <w:t>TRIBUNAL CANTONAL KC22.005533-220891 130 CO UR DE S P OURSUITES ET FAILL ITES ________________________________________________ Arrêt du 6 octobre 2022 __________________ Composition :M. HACK, président Mmes Byrde et Giroud Walther, juges Greffier : Mme Joye ***** Art. 321 al. 1 CPC Vu la décision rendue sous forme de dispositif le 29 avril 2022, adressée aux parties le 1er juin 2022, par laquelle Juge de paix du district de Lausanne a prononcé la mainlevée définitive de l’opposition formée par l’E.________, à Gland, à la poursuite n° 9'995’362 de l’Office des poursuites du même district introduite par l’ETAT DE VAUD, Office d’impôt des Personnes Morales (OIPM), à Yverdon-les-Bains, portant sur un montant de 800 fr. plus intérêt à 3,5% dès le 21 décembre 2020 (I), a mis les frais judiciaires, arrêtés arrêtant à 120 fr., à la charge de la poursuivie (II et III) et a dit que celle-ci remboursera au poursuivant son avance de 111</w:t>
      </w:r>
    </w:p>
    <w:p>
      <w:r>
        <w:t>- 2 - frais à concurrence de 120 fr., sans allocation de dépens pour le surplus (IV), vu la notification de ce dispositif au poursuivi le 7 juin 2022, vu la demande de motivation déposée par le poursuivi le 16 juin 2022, vu les motifs du prononcé adressés aux parties le 29 juin 2022 et notifiés au poursuivi le 7 juillet 2022, vu le recours formé contre cette décision par la poursuivie par acte déposé le 18 juillet 2022, vu les autres pièces au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w:t>
      </w:r>
    </w:p>
    <w:p>
      <w:r>
        <w:t>- 3 -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en l’espèce, que dans son acte de recours, la recourante, par son président Djilali Hadjadj, fait valoir que l’association étant sans activité depuis 2016, l’amende prononcée est injustifiée, que ce faisant, elle ne soulève aucun grief ou moyen de recours contre les considérants topiques du prononcé de la juge de paix,</w:t>
      </w:r>
    </w:p>
    <w:p>
      <w:r>
        <w:t>- 4 - selon lesquels le poursuivant est au bénéfice de décisions fiscales entrées en force, valant titres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que même s'il avait été recevable, le recours aurait dû être rejeté, dès lors que la poursuite est fondée sur des décision de taxation définitives et passées en force – qui constituent des titres de mainlevée définitive au sens de l'art. 80 LP – et que dans la procédure de mainlevée définitive, le juge ne peut ni revoir, ni interpréter le titre de mainlevée qui est produit (TF 5A_770/2011, consid. 4.1; ATF 124 III 501 consid. 3a; ATF 113 III 6 consid. 1b; CPF, 17 juillet 2014/267) et n’est pas habilité à remettre en question le bien-fondé de la décision produite en se livrant à des considérations relevant du droit de fond relative à l'existence matérielle de la créance (ATF 140 III 180 consid. 5.2.1; ATF 113 III 6, JT 1989 II 70), que les critiques dirigées contre la taxation par la recourante sont dès lors sans portée ; attendu que le présent arrêt peut être rendu sans frais (art. 11 TFJC [tarif des frais judiciaire civils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E.________, - Office d’impôt des Personnes Morales (pour l’Etat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