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KC21.033491 vom 3. Juni 2022</w:t>
      </w:r>
    </w:p>
    <w:p>
      <w:r>
        <w:t>VD Tribunal cantonal, 2022-06-03, FR</w:t>
      </w:r>
    </w:p>
    <w:p>
      <w:r>
        <w:rPr>
          <w:b/>
        </w:rPr>
        <w:t xml:space="preserve">Quelle: </w:t>
      </w:r>
      <w:r>
        <w:t>https://mcp.opencaselaw.ch/entscheid/vd_gerichte_KC21.033491</w:t>
      </w:r>
    </w:p>
    <w:p>
      <w:r>
        <w:t>FR: VD_GERICHTE KC21.033491 du 3 juin 2022</w:t>
      </w:r>
    </w:p>
    <w:p>
      <w:r>
        <w:t>IT: VD_GERICHTE KC21.033491 del 3 giugno 2022</w:t>
      </w:r>
    </w:p>
    <w:p>
      <w:pPr>
        <w:pStyle w:val="Heading2"/>
      </w:pPr>
      <w:r>
        <w:t>Erwägungen</w:t>
      </w:r>
    </w:p>
    <w:p>
      <w:r>
        <w:rPr>
          <w:b/>
        </w:rPr>
        <w:t>E. 1</w:t>
      </w:r>
    </w:p>
    <w:p>
      <w:r>
        <w:t>a) Le 14 mai 2021, à la réquisition de l'Etat de Vaud, représenté par l’Office d’impôt des districts de Nyon et Morges, l'Office des poursuites du district de Morges a notifié à W.________, dans la poursuite n° 9'992’622, un commande-ment de payer les montants de (1) 10'383 fr. plus intérêt à 3% l'an dès le 8 mars 2021 et de (2) 450 fr. 70 sans intérêt, indiquant comme titre de la créance ou cause de l'obligation : « 1) Impôt fédéral direct 2017 (Confédération suisse) selon décision de taxation du 01.02.2021 et du décompte final du 01.02.2021 ; sommation adressée le 01.04.2021. 2) Intérêts moratoires sur acomptes. ». La poursuivie a formé opposition totale. b) Le 27 juillet 2021, le poursuivant a requis de la Juge de paix du district de Morges qu’elle prononce la mainlevée définitive de l'opposition à la poursuite en cause à concurrence des montants réclamés en capital et intérêts. A l’appui de sa requête, il a produit, outre l’original du commandement de payer précité, les pièces suivantes : - une copie conforme à l’original d’une « décision de taxation et calcul de l’impôt » rendue le 1er février 2021 par l’Office d’impôt des districts de Nyon et Morges, adressée à W.________, relative à l’impôt sur le revenu et la fortune (ICC) 2017 et l’impôt fédéral direct (IFD) 2017, le premier étant fixé à 26'027 fr. 85 et le second à 10'383 fr. ; cette décision mentionne la voie de la réclamation écrite auprès de l’autorité de taxation dans les trente jours dès la notification de la décision ; elle porte en outre un timbre humide attestant qu’elle est passée en force, faute de réclamation ; - une copie conforme à l’original d’un « décompte final » relatif à l’ICC 2017 et l’IFD 2017 établi par l’Office d’impôt des districts de Nyon et Morges le 1er février 2021, adressé à W.________, portant sur</w:t>
      </w:r>
    </w:p>
    <w:p>
      <w:r>
        <w:t>- 3 - 26'027 fr. 85 et 10'383 fr. selon la décision de taxation précitée, plus des intérêts moratoires sur acomptes ICC de 2'993 fr. 50, des intérêts compensatoires ICC de 6 fr. 35 et des intérêts moratoires sur acomptes IFD de 450 fr. 70, sous déduction d’un abandon d’intérêt de 6 fr. 35, ce qui donne un solde de 39'855 fr. 05, échu le 5 février 2021 et payable jusqu’au 7 mars 2021 ; ce décompte comporte en annexe notamment l’indication de la voie de la réclamation ; il porte en outre un timbre humide attestant que cette décision est passée en force, faute de réclamation ; - un rappel du 1er avril 2021 invitant W.________ à payer le montant de 10'833 francs 70 dans les dix jours, à défaut de quoi une procédure de poursuite serait introduite, et précisant que l’intérêt moratoire était dû et que ce rappel valait sommation au sens de l’art. 165 LIFD ; - un relevé de compte du 27 juillet 2021 faisant état d’un solde dû par W.________, à cette date, de 10'937 fr. au titre de l’impôt fédéral direct pour l’année 2017. c) La poursuivie, sous la plume de son avocate, s’est déterminée le 20 octobre 2021 sur la requête de mainlevée, concluant à son rejet, sous suite de frais et dépens. La poursuivie faisait valoir que dans le cadre de ses affaires fiscales, elle bénéficiait des conseils de la société [...], qu’elle aurait élu domicile auprès de cette société en ce qui concerne ses relations avec l’Office d’impôt des districts de Nyon et Morges et plus généralement pour toute question relevant de ses rapports avec le fisc, qu’elle n’aurait pas eu connaissance de la décision et du décompte final du 1er février 2021 ni de la sommation du 1er avril 2021, relevant que ceux-ci ont tous été adressés sous pli simple et non par courrier recommandé. A l’appui de son écriture, la poursuivie a produit un courrier du pour-suivant du 26 août 2021, adressé à [...], dans lequel il demandait à celle-ci de lui faire parvenir « tous documents complémentaires utiles au suivi de votre correspondance ».</w:t>
      </w:r>
    </w:p>
    <w:p>
      <w:r>
        <w:t>- 4 - d) Le poursuivant s’est déterminé sur cette écriture le 28 octobre 2021, confirmant sa requête de mainlevée. Il faisant valoir que s’il était certes possible qu’un envoi sous pli simple se perde entre l’expéditeur et le destinataire, il était hautement invraisemblable qu’aucun des envois qu’il a adressés à la poursuivie les 1er février, 1er avril et 20 mai 2021 ne soit parvenu à l’intéressée, que les éventuels manquements de son représentant, en l’occurrence [...], lui étaient opposables et, enfin, que même si la décision de taxation du 1er février 2021 n’était pas parvenue à W.________, il appartenait à celle-ci, en vertu du principe de la bonne foi, au vu des avis qui ont suivi, de s’adresser à l’autorité fiscale afin d’être informée des décisions qui ont pu être rendues à son encontre et qu’il était manifestement contraire à ce principe d’affirmer cinq mois après la notification du commandement de payer que la poursuivie n’avait pas eu connaissance de la décision de taxation fondant la poursuite. A l’appui de son écriture, le poursuivant a produit l’« invitation à retirer une poursuite » qu’il a adressé à W.________ le 20 mai 2021 ainsi qu’une attestation d’établissement de la commune de Féchy du 27 octobre 2021 la concernant.</w:t>
      </w:r>
    </w:p>
    <w:p>
      <w:r>
        <w:rPr>
          <w:b/>
        </w:rPr>
        <w:t>E. 2</w:t>
      </w:r>
    </w:p>
    <w:p>
      <w:r>
        <w:t>Par prononcé du 24 novembre 2021, la Juge de paix du district de Morges a rejeté la requête de mainlevée (I), a arrêté à 360 fr. les frais judiciaires, compensés avec l'avance de frais du poursuivant (II), a mis les frais à la charge de celui-ci (III) et a dit qu’il n’était pas alloué de dépens (IV). Les motifs du prononcé ont été adressés aux parties le 22 février 2022. La première juge a considéré que le poursuivant n’ayant pas établi la notification des décisions en cause à la poursuivie, qui contestait les avoir reçues, la mainlevée ne pouvait pas être prononcée.</w:t>
      </w:r>
    </w:p>
    <w:p>
      <w:r>
        <w:t>- 5 -</w:t>
      </w:r>
    </w:p>
    <w:p>
      <w:r>
        <w:rPr>
          <w:b/>
        </w:rPr>
        <w:t>E. 3</w:t>
      </w:r>
    </w:p>
    <w:p>
      <w:r>
        <w:t>Par acte déposé le 25 février 2022, le poursuivant a recouru contre le prononcé précité, concluant à sa réforme en ce sens que la requête de mainlevée définitive est admise. La poursuivie n’a pas été invitée à se déterminer. En d roit : I. Le recours, écrit et motivé, a été déposé dans les formes requises et en temps utile, dans le délai de dix jours suivant la notification des motifs de la décision attaquée (art. 321 al. 1 et 2 CPC [Code de procédure civile ; RS 272]). Il est ainsi recevable. 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 Staehelin (éd.), Basler Kommentar, SchKG I, 2e éd., 2010, n. 120 ad art. 80 LP ; Rigot, Le recouvrement forcé des créances de droit public selon le droit de poursuite pour dettes et la faillite, thèse Lausanne, 1991, p. 30 et p. 136/137, n. 123). Selon l’art. 165 al. 3 LIFD (loi fédérale du 14 décembre 1990 sur l’impôt fédéral direct ; RS 642.11), les décisions</w:t>
      </w:r>
    </w:p>
    <w:p>
      <w:r>
        <w:t>- 6 -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w:t>
      </w:r>
    </w:p>
    <w:p>
      <w:r>
        <w:t>- 7 -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le recourant se prévaut, comme titres de mainlevée définitive, d'une décision de taxation et d’un décompte final du 1er février 2021 qui ont été envoyés sous pli simple. Il n'a donc pas pu produire de récépissés attestant que ces décisions avaient bien été notifiées à l’intimée. Contrairement à ce que voudrait le recourant, on ne</w:t>
      </w:r>
    </w:p>
    <w:p>
      <w:r>
        <w:t>- 8 - peut pas se fonder sur les seules affirmations de l’autorité fiscale selon lesquelles elle a adressé des décisions à la contribuable pour admettre, sans preuve matérielle, ni aveu de l’intéressée, que cette dernière les a bien reçues, ni se fonder sur les seules affirmations selon lesquelles elle a adressé à la même contribuable d’autres communications mentionnant lesdites décisions pour admettre, toujours sans preuve matérielle, ni aveu de l’intéressée, que cette dernière les a bien reçues et qu’elle a ainsi eu connaissance des décisions la concernant. Il s’avère en effet que l’intimée conteste avoir reçu la décision et le décompte du 1er février 2021, ainsi que la sommation du 1er avril 2021, et que ces trois envois ont été adressés sous pli simple. Même s’il est effectivement peu probable qu’aucun des envois adressés à l’intimée concernant l’impôt litigieux ne soit parvenu à cette dernière, cette improbabilité ne suffit pas pour retenir, même au degré de la vraisemblance prépondérante, que la décision de taxation et le décompte final invoqués sont bien parvenus à l’intimée. La réception par l’intimée du rappel et de l’invitation à retirer une poursuite n’étant pas non plus établie, ni admise, on ne peut pas en inférer que l’intéressée a eu connaissance des décisions prises à son encontre. La preuve de la notification ne peut pas non plus se déduire de l'attitude de cette dernière en procédure dans la mesure où elle a, en première instance déjà, contesté avoir reçu les décisions en cause. Par ailleurs, le recourant n’ayant pas apporté la preuve de la notification des décisions en cause à la fiduciaire de l’intimée, il ne saurait valable-ment soutenir que celle-ci devrait se laisser imputer les manquements de son représentant. S’agissant du principe de la bonne foi invoqué par le recourant, il est vrai que ce principe commande au justiciable ou à l’administré d’agir dans un délai raisonnable dès qu’il en a connaissance de quelque manière que ce soit (ATF 122 I 97 consid. 3a/aa ; TF 1C_15/2016 du 1er septembre 2016 consid. 2.2 et les référen-ces citées). En l’occurrence, le fait que l’intimée n’ait pas contesté les décisions de taxation litigieuses après en avoir pris connaissance à la lecture du commandement de payer puis des pièces produites dans le cadre de la présente procédure de mainlevée pourrait tout au plus conduire à retenir que ces décisions sont désormais définitives et exécutoires (cf. CPF 12 novembre 2021/225 ; CPF 15 juin 2017/109), mais pas que la créance était</w:t>
      </w:r>
    </w:p>
    <w:p>
      <w:r>
        <w:t>- 9 - exigible au moment de la notification du commande-ment de payer (TF 5A_954/2105 du 22 mars 2016 consid. 3.1). En définitive, il faut considérer que la preuve de la notification des décisions invoquées comme titres de mainlevée définitive n’a pas été établie, que toute autre solution reviendrait à inverser le fardeau de la preuve, et que dans ces circonstances, c’est à juste titre que la première juge a rejeté la requête de mainlevée. III. Vu ce qui précède, le recours doit être rejeté et le prononcé confirmé. Les frais judiciaires de deuxième instance, arrêtés à 540 fr., doivent être mis à la charge du recourant, qui succombe (art. 106 al. 1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