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KC21.026608 vom 12. Mai 2022</w:t>
      </w:r>
    </w:p>
    <w:p>
      <w:r>
        <w:t>VD Tribunal cantonal, 2022-05-12, FR</w:t>
      </w:r>
    </w:p>
    <w:p>
      <w:r>
        <w:rPr>
          <w:b/>
        </w:rPr>
        <w:t xml:space="preserve">Quelle: </w:t>
      </w:r>
      <w:r>
        <w:t>https://mcp.opencaselaw.ch/entscheid/vd_gerichte_KC21.026608</w:t>
      </w:r>
    </w:p>
    <w:p>
      <w:r>
        <w:t>FR: VD_GERICHTE KC21.026608 du 12 mai 2022</w:t>
      </w:r>
    </w:p>
    <w:p>
      <w:r>
        <w:t>IT: VD_GERICHTE KC21.026608 del 12 maggio 2022</w:t>
      </w:r>
    </w:p>
    <w:p>
      <w:pPr>
        <w:pStyle w:val="Heading2"/>
      </w:pPr>
      <w:r>
        <w:t>Erwägungen</w:t>
      </w:r>
    </w:p>
    <w:p>
      <w:r>
        <w:rPr>
          <w:b/>
        </w:rPr>
        <w:t>E. 17</w:t>
      </w:r>
    </w:p>
    <w:p>
      <w:r>
        <w:t>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Staehelin/Bauer/Staehelin, Basler Kommentar zum Bundesgesetz über Schuldbetreibung und Konkurs, vol. I (ci-après : BK SchKG I), 3e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w:t>
      </w:r>
    </w:p>
    <w:p>
      <w:r>
        <w:t>- 9 - n'en sont pas moins des créances distinctes, soumises à leur propre sort (ATF 141 III 173 consid. 2.2.2 ; TF 5A_861/2013 du 15 avril 2014 consid. 2.3 ; CPF 1er novembre 2016/342 et les références citées ; CPF 16 mars 2012/80, in BlSchK 2013 p. 32 ; Staehelin, BK SchKG I, 3e éd., n. 40 ad art. 80 SchKG et la jurisprudence citée ; Abbet, in Abbet/Veuillet (éd.), La mainlevée de l’opposition,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références citées ; CPF 16 mars 2012/80, in BlSchK 2013 p. 32 ; Staehelin, BK SchKG I, 3e éd., n. 40 ad art. 80 SchKG [LP]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 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 CPF 16 mars 2012/80, in BlSchK 2013 p. 32). b) En l’espèce, le commandement de payer indique comme titre de la créance ou cause de l’obligation : « 1. Pensions alimentaires selon jugement en modification du jugement de divorce point VIIIter 2. Allocation (sic) familiales selon jugement en modification du jugement de divorce »</w:t>
      </w:r>
    </w:p>
    <w:p>
      <w:r>
        <w:t>- 10 - Le chiffre VIIIter du jugement en modification de jugement de divorce du 11 février 2021 a la teneur suivante : « VIIIter. DIT que A.H.________ contribuera à l’entretien de l’enfant B.H.________ par le régulier versement d’avance le premier de chaque mois en mains de V.________, d’une pension mensuelle de 1'600 fr. (mille six cents francs), éventuelles allocations familiales non comprises et dues en sus, dès le 1er juin 2019 jusqu’au 31 juillet 2020 ; » La poursuite en cause porte sur des prestations périodiques ; chaque montant mensuel constitue une créance distincte ayant pour fondement le jugement susmentionné. Le commandement de payer devait donc indiquer la période pour laquelle la contribution d’entretien était réclamée. Dans l’exposé des faits de son écriture du 21 février 2022, la recourante indique que cette période pouvait se déduire facilement des dates indiquées par le jugement et des montants globaux réclamés. Il n’empêche que cette période n’était pas indiquée dans le commandement de payer. Le fait qu’il faille procéder à un calcul pour comprendre que, le cas échéant, la contribution était réclamée pour l’entier de la période mentionnée au chiffre VIIIter du jugement démontre le bien-fondé de l’exigence jurisprudentielle de mention expresse de la période couverte par le commandement de payer. Le fait qu’une période déterminée de versement de la contribution litigieuse ait été prévue dans le jugement au fond ne permet donc pas de déroger à l’exigence jurisprudentielle de la mention de cette période dans le commandement de payer. III. La recourante fait valoir qu’une nouvelle notification au poursuivi ne donnerait aucun renseignement complémentaire sur la poursuite engagée et aboutirait à un formalisme excessif. a) Selon la jurisprudence, il y a formalisme excessif, constitutif d'un déni de justice formel prohibé par l'art. 29 al. 1 Cst., lorsque la stricte</w:t>
      </w:r>
    </w:p>
    <w:p>
      <w:r>
        <w:t>- 11 - application des règles de procédure ne se justifie par aucun intérêt digne de protection, devient une fin en soi et complique de manière insoutenable la réalisation du droit matériel ou entrave de manière inadmissible l'accès aux tribunaux (ATF 142 IV 299 consid. 1.3.2 p. 304; 142 I 10 consid. 2.4.2 p. 11; 135 I 6 consid. 2.1 p. 9). b) En l’espèce, comme on l’a vu, les exigences prévues par la jurisprudence du Tribunal fédéral sur l’identification de la prétention en poursuite ne procèdent pas d’un formalisme excessif (cf. supra consid. IIa)). Au demeurant, il suffisait que le commandement de payer mentionne « 1er juin 2019 au 31 juillet 2020 » pour que toute ambiguïté soit levée d’emblée quant à la période pour laquelle les contributions étaient réclamées. L’on ne saurait à cet égard considérer cette exigence comme compliquant de manière insoutenable la réalisation du droit matériel. En outre, comme la recourante le reconnaît, il lui est possible de réparer l’omission en cause en introduisant une nouvelle poursuite mentionnant la période pour laquelle la contribution et les allocations familiales en cause sont réclamées, sans que l’intimé puisse lui opposer l’autorité de chose jugée du présent arrêt (cf. ATF 140 III 456 consid. 2.5 ; AT 136 III 583 consid. 2.3 ; Abbet, op. cit., n. 127 ad art. 84 LP). Le moyen tiré du formalisme excessif doit donc être rejeté. IV. En conclusion, le recours, manifestement mal fondé dans la mesure où il est recevable, doit être rejeté et le prononcé confirmé. Vu le sort du recours, les frais judiciaires de deuxième instance, arrêtés à 540 fr., sont mis à la charge de la recourante (art. 106 al. 1 CPC). Il n’y a pas lieu d’allouer de dépens de deuxième instance, l’intimé n’ayant pas été invité à se déterminer.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