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KC21.022681 vom 8. Februar 2022</w:t>
      </w:r>
    </w:p>
    <w:p>
      <w:r>
        <w:t>VD Tribunal cantonal, 2022-02-08, FR</w:t>
      </w:r>
    </w:p>
    <w:p>
      <w:r>
        <w:rPr>
          <w:b/>
        </w:rPr>
        <w:t xml:space="preserve">Quelle: </w:t>
      </w:r>
      <w:r>
        <w:t>https://mcp.opencaselaw.ch/entscheid/vd_gerichte_KC21.022681</w:t>
      </w:r>
    </w:p>
    <w:p>
      <w:r>
        <w:t>FR: VD_GERICHTE KC21.022681 du 8 février 2022</w:t>
      </w:r>
    </w:p>
    <w:p>
      <w:r>
        <w:t>IT: VD_GERICHTE KC21.022681 del 8 febbraio 2022</w:t>
      </w:r>
    </w:p>
    <w:p>
      <w:pPr>
        <w:pStyle w:val="Heading2"/>
      </w:pPr>
      <w:r>
        <w:t>Erwägungen</w:t>
      </w:r>
    </w:p>
    <w:p>
      <w:r>
        <w:rPr>
          <w:b/>
        </w:rPr>
        <w:t>E. 3</w:t>
      </w:r>
    </w:p>
    <w:p>
      <w:r>
        <w:t>Par acte du 12 novembre 2021, le poursuivant a recouru contre le prononcé précité en concluant à sa réforme en ce sens que la mainlevée définitive de l’opposition est prononcée à concurrence de 21'192 fr., sans intérêt, que les frais judiciaires de première instance sont mis à la charge de la poursuivie et que celle-ci est condamnée à lui payer immédiatement la somme de 360 fr. à titre de remboursement de l’avance de frais versée. L’intimée n’a pas réclamé le pli contenant le recours et l’avis qu’un délai de dix jours lui était imparti pour se déterminer, envoyé en courrier recommandé par le greffe de la Cour de céans le 3 décembre 2021. En d roit : I. Le recours a été déposé dans les formes requises, par acte écrit et motivé, et en temps utile, dans le délai de dix jours suivant la notification de la décision motivée (art. 321 al. 1 et 2 CPC [Code de procédure civile ; RS 272]). Il est ainsi recevable. 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w:t>
      </w:r>
    </w:p>
    <w:p>
      <w:r>
        <w:t>- 6 -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 (éd.), Commentaire romand, Code de procédure civile [ci-après : CR-CPC], 2è éd., nn. 1 à 5 ad art. 53 CPC ; Bohnet, in CR-CPC,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15 avril 2019/69 ; CPF 16 février 2018/16 ; CPF 10 avril 2014/145 et les nombreux arrêts cités). b) En l’espèce, le pli recommandé adressé à l’intimée contenant la requête de mainlevée d’opposition et l’avis lui impartissant un délai pour se déterminer a été retourné au greffe de la justice de paix</w:t>
      </w:r>
    </w:p>
    <w:p>
      <w:r>
        <w:t>- 7 - avec la mention « non réclamé ». Conformément à la jurisprudence susmentionnée, la fiction de notification à l’échéance du délai de garde ne s’applique pas dans ces circonstances. Il ne ressort pas du dossier que ce pli aurait été à nouveau notifié d’une autre manière contre accusé de réception à son destinataire, par exemple par huissier. Le simple renvoi en courrier A ne suffit pas pour établir la notification. Il s’ensuit que la requête de mainlevée n’a pas été valablement notifiée à la poursuivie. Celle-ci n'a dès lors pas eu la possibilité de prendre connaissance de la requête, ni de se déterminer à son sujet, ce qui constitue une violation de son droit d'être entendue. III. a) Selon la jurisprudence de la Cour de céans développée dans le cadre du CPC, un jugement de mainlevée est nul quand le poursuivi n’a pas reçu la requête de mainlevée, ce qui doit être examiné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En l’espèce, le recourant reproche à la première juge d’avoir rejeté la requête de mainlevée dans son intégralité pour le motif que l’amélioration de la situation financière de l’intimée n’était pas établie. Il soutient que cette condition concernerait uniquement les indemnités de défense d’office (arrêtées à 14'126 fr. 40 et 4'419 fr. 15) et ne viserait pas les frais de procédure pénale et d’appel, dont les soldes de 20'142 fr. (34'268 fr. 40 - 14'126 fr. 40) et de 1'050 fr. ([7’569 fr. 15 - 4'419 fr. 15] / 3) seraient exigibles sans condition. Cette argumentation ne paraît pas dénuée de fondement, si bien que la Cour de céans ne parvient pas à la conclusion que le recours devrait être rejeté.</w:t>
      </w:r>
    </w:p>
    <w:p>
      <w:r>
        <w:t>- 8 - IV. Vu ce qui précède, il y a lieu d’annuler d’office le prononcé et de renvoyer la cause à la Juge de paix du district de Lausanne pour qu’elle rende une nouvelle décision après avoir notifié l’acte introductif de l’instance de mainlevée d’opposition à la poursuivie. Il se justifie de laisser à la charge de l’Etat les frais judiciaires de deuxième instance, arrêtés à 540 fr., qui ne sont pas imputables aux parties (art. 107 al. 2 CPC). L’avance de frais de 540 fr. effectuée par le recourant doit par conséquent lui être restituée. Il n’y a pas lieu d’allouer des dépens de deuxième instance au recourant,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