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KC21.021030 vom 25. Februar 2022</w:t>
      </w:r>
    </w:p>
    <w:p>
      <w:r>
        <w:t>VD Tribunal cantonal, 2022-02-25, FR</w:t>
      </w:r>
    </w:p>
    <w:p>
      <w:r>
        <w:rPr>
          <w:b/>
        </w:rPr>
        <w:t xml:space="preserve">Quelle: </w:t>
      </w:r>
      <w:r>
        <w:t>https://mcp.opencaselaw.ch/entscheid/vd_gerichte_KC21.021030</w:t>
      </w:r>
    </w:p>
    <w:p>
      <w:r>
        <w:t>FR: VD_GERICHTE KC21.021030 du 25 février 2022</w:t>
      </w:r>
    </w:p>
    <w:p>
      <w:r>
        <w:t>IT: VD_GERICHTE KC21.021030 del 25 febbraio 2022</w:t>
      </w:r>
    </w:p>
    <w:p>
      <w:pPr>
        <w:pStyle w:val="Heading2"/>
      </w:pPr>
      <w:r>
        <w:t>Erwägungen</w:t>
      </w:r>
    </w:p>
    <w:p>
      <w:r>
        <w:rPr>
          <w:b/>
        </w:rPr>
        <w:t>E. 17</w:t>
      </w:r>
    </w:p>
    <w:p>
      <w:r>
        <w:t>mai 2013 consid. 8.2.4). L’interprétation littérale stricte n’est justifiée qu’à l’égard de parties qui sont rompues à l’usage des termes ou possèdent une formation juridique (TF 5A_849/2012 du 25 juin 2013 précité). Doivent être considérées comme versées dans les affaires les sociétés qui s’occupent dans leur pratique quotidienne d’actes d’intercession telles que les groupes d’entreprises actifs sur le plan international ou les instituts bancaires suisses, une reprise cumulative de dette par les banques représentant un fait plutôt rare. De même, les particuliers qui traitent souvent des affaires couplées avec des actes d’intercession en tant qu’administrateur ou directeur doivent admettre que les termes choisis leur soient personnellement opposables, cette règle s’appliquant également à la société qu’ils représentent. De même, les personnes qui jouissent d’une formation juridique acquise en Suisse doivent se laisser opposer le sens objectif que les termes utilisés ont en droit, en particulier si une interprétation contraire conduit à l’invalidité du contrat. Cette règle s’applique également à celui qui s’est fait conseiller lors de la conclusion du contrat par une telle personne s’il est établi que celle-ci l’a éclairé sur la signification des notions employées. En revanche, on ne saurait tenir un particulier pour rompu aux affaires du seul fait qu’il est inscrit au registre du commerce et possède la signature individuelle pour une petite entreprise qui n’a pas affaire à des actes d’intercession dans son activité quotidienne (ATF 129 III 702 consid. 2.4.2, JdT 2004 I 535 ; TF 5A_944/2016 du 31 août 2017 consid. 2.3). Outre ces hypothèses, l'engagement solidaire est encore admis lorsque le garant a un intérêt propre et marqué à l'exécution de l'obligation ou qu'il en retire un avantage, que le créancier a connaissance de cet intérêt et qu'il peut donc percevoir le motif pour lequel le garant se déclare prêt à assumer une obligation identique à celle du débiteur (ATF 129 III 702 consid. 2.6; TF 5A_739/2012 du 17 mai 2013 consid. 8.2.4 ; TF</w:t>
      </w:r>
    </w:p>
    <w:p>
      <w:r>
        <w:t>- 11 - 4A_235/2012 du 26 octobre 2012 consid. 2.1; TF 4A_420/2007 du 19 décembre 2007 consid. 2.5.1 et 2.5.3; TF 4C.24/2007 du 26 avril 2007 consid. 5, publié in SJ 2008 I p. 29; TF 4C.191/1999 du 22 septembre 1999 consid. 1a, publié in SJ 2000 I p. 305). Un intérêt propre existe aussi lorsque le promettant constitue avec le débiteur une société simple et qu'il s'agit de garantir une affaire conclue en vue d'atteindre le but social. En revanche, il ne suffit pas que le reprenant ne tire qu'un vague avantage de l'affaire. Il doit vouloir visiblement s'engager en vertu de la même cause dans le contrat liant le débiteur principal. A cet égard, le seul fait que le reprenant puisse, selon l'inscription au registre du commerce, engager la raison individuelle par sa seule signature est insuffisant (ATF 129 III 702 consid. 2.6). Dans un cas où le crédit ouvert était destiné au fonds de roulement et donc aux opérations d'une société anonyme dont les trois défendeurs étaient actionnaires et administrateurs, le Tribunal fédéral a considéré que l'intérêt personnel et matériel de ces derniers, qui s'étaient engagés en qualité de codébiteurs solidaires, était indiscutable et que, d'un point de vue économique, ils n'intercédaient pas pour un tiers débiteur mais ils agissaient aux fins de leur propre activité commerciale (TF 4A.24/2007 du 26 avril 2007 consid. 5). Il y a indice en faveur d’un engagement indépendant lorsque celui qui s’engage y a un intérêt personnel, plus ou moins équivalent à celui du co-débiteur (ATF 111 II 276) ; de même, si la somme que le garant s’engage à payer ne correspond pas à celle due par le débiteur ou n’est pas fixée par référence à celle-ci (ATF 113 II 434). En cas de garantie indépendante, le garant doit payer aussitôt après l’appel du bénéficiaire, si les conditions formelles telles qu’elles sont précisées dans le texte de la garantie sont réunies (ATF 122 III 321 consid. 4a ; TF 4A_709/2016 du 6 avril 2017 consid. 2.2 et les réf. cit.). En cas de doute sur la nature de l'engagement, le cautionnement a la préférence, compte tenu du but de protection dévolu aux art. 492 ss CO (ATF 129 III 702 consid. 2.5, JdT 2004 I 535; TF 4C.274/2001 du 9 avril 2002 consid. 3 et les réf. citées, SJ 2002 I 574 ; ATF 113 II 434 consid. 2c, JdT 1988 I 185).</w:t>
      </w:r>
    </w:p>
    <w:p>
      <w:r>
        <w:t>- 12 - cc) En l’espèce, le bail litigieux a été signé par la recourante à deux reprises, soit une fois en tant que représentante de la société U.________ Sàrl et une fois en son nom propre. Le contrat précise, aussi bien lors de la désignation de la partie locataire que sous la rubrique signature, que la société et la recourante sont solidairement responsables des obligations découlant du bail. Contrairement à ce que soutient cette dernière, le fait qu’elle était au moment de la signature du contrat, l’unique associée gérante avec signature individuelle de la société suffit pour retenir l’existence d’un intérêt propre et marqué à la conclusion et à l’exécution du contrat (CPF 12 novembre 2021/244 ; CPF 30 août 2018/186). A cet égard, la comparaison avec la pratique bancaire n’est pas pertinente. Le fait que les banques choisiraient le contrat de cautionnement en la forme authentique pour garantir les prêts qu’ils accordent à des entreprises ne signifie pas que l’engagement solidaire soit exclu. Au vu de la jurisprudence rappelée ci-dessus, c’est donc à juste titre que le premier juge a retenu l’existence d’un engagement solidaire. III. En conclusion, le recours doit être rejeté selon le mode procédural de l’art. 322 al. 2 CPC et le prononcé confirmé. Vu le rejet du recours, les frais judiciaires de deuxième instance, arrêtés à 540 fr., doivent être mis à la charge de la recourante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