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KC21.016245 vom 23. Dezember 2021</w:t>
      </w:r>
    </w:p>
    <w:p>
      <w:r>
        <w:t>VD Tribunal cantonal, 2021-12-23, FR</w:t>
      </w:r>
    </w:p>
    <w:p>
      <w:r>
        <w:rPr>
          <w:b/>
        </w:rPr>
        <w:t xml:space="preserve">Quelle: </w:t>
      </w:r>
      <w:r>
        <w:t>https://mcp.opencaselaw.ch/entscheid/vd_gerichte_KC21.016245</w:t>
      </w:r>
    </w:p>
    <w:p>
      <w:r>
        <w:t>FR: VD_GERICHTE KC21.016245 du 23 décembre 2021</w:t>
      </w:r>
    </w:p>
    <w:p>
      <w:r>
        <w:t>IT: VD_GERICHTE KC21.016245 del 23 dicembre 2021</w:t>
      </w:r>
    </w:p>
    <w:p>
      <w:pPr>
        <w:pStyle w:val="Heading2"/>
      </w:pPr>
      <w:r>
        <w:t>Volltext</w:t>
      </w:r>
    </w:p>
    <w:p>
      <w:r>
        <w:t>TRIBUNAL CANTONAL KC21.016245-210919 285 CO UR DE S P OURSUITES ET FAILL ITES ________________________________________________ Arrêt du 23 décembre 2021 _______________________ Composition :M. HACK, président Mmes Byrde et Rouleau, juges Greffier : Mme Debétaz Ponnaz ***** Art. 239 al. 2 CPC et 321 al. 1 CPC Vu la décision rendue le 27 mai et adressée aux parties le 3 juin 2021 par la Juge de paix du district de Lausanne, statuant à la suite de l’interpellation de la partie poursuivie et prononçant la mainlevée provisoire, à concurrence de 947 fr. 10 sans intérêt, de l’opposition formée par R.________, à [...], à la poursuite n° 9’560'710 de l’Office des poursuites du district de Lausanne exercée contre elle à l’instance d’U.________AG, à [...] (I), arrêtant à 120 fr. les frais judiciaires (II), les mettant à la charge de la poursuivie (III) et disant que celle-ci remboursera à la poursuivante son avance de frais à concurrence du même montant, sans allocation de dépens pour le surplus (IV), 111</w:t>
      </w:r>
    </w:p>
    <w:p>
      <w:r>
        <w:t>- 2 - vu la notification du dispositif de ce prononcé à la poursuivie le 7 juin 2021, vu le recours contre la décision précitée daté du 7 et déposé le 9 juin 2021 au greffe de la Justice de paix de Lausanne, indiquant concerner une affaire opposant la recourante à [...] SA pour un montant litigieux de 18'000 fr., invoquant des moyens ayant trait à un contrat de bail à loyer et à une résiliation abusive qui ferait l’objet d’une procédure d’opposition en cours devant le Tribunal des baux, et concluant à l’annulation du prononcé de mainlevée et à la reconsidération de l’affaire au fond, vu la demande de motivation datée du 8 et déposée également le 9 juin 2021 au greffe de la Justice de paix de Lausanne, vu les motifs du prononcé adressés aux parties le 19 et notifiés à la poursuivie le 22 octobre 2021, vu la transmission du dossier par la juge de paix à la cour de céans, autorité de recours, le 19 octobre 2021,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1re phrase, CPC), un acte de recours déposé dans ce délai étant alors considéré comme une demande de motivation (Colombini, Code de</w:t>
      </w:r>
    </w:p>
    <w:p>
      <w:r>
        <w:t>- 3 - procédure civile, Condensé de la jurisprudence fédérale et vaudoise, n. 3.1.1. ad art. 239 CPC et les références citées ; CREC 31 janvier 2020/30), qu’un tel recours sera cependant le plus souvent irrecevable faute de motivation topique, s’il n’est pas suivi d’un nouveau recours dans le délai suivant la réception des considérants écrits (CREC 31 janvier 2020/30 précité), qu’en effet, la partie qui entend user d'une voie de droit a la charge de se conformer à certaines règles de forme, à défaut de quoi sa démarche sera frappée d'irrecevabilité (Jeandin, in Bohnet et alii (éd.), Commentaire romand, Code de procédure civile, 2e éd.,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5A_488/2015 du 21 août 2015 consid. 3.2.1, publié in RSPC 6/2015 pp. 512 s., et les arrêts cités), que cela signifie que la partie recourante doit démontrer le caractère erroné de la motivation de la décision attaquée et que son argumentation doit être suffisamment explicite pour que l’instance de recours puisse la comprendre, ce qui suppose une désignation précise des passages de la décision qu’elle attaque et des pièces du dossier sur lesquelles elle fonde sa critique (ibid.), que ni l’art. 132 al. 1 et 2 ni l’art. 56 CPC ne sont applicables en cas d’absence de motivation d’un acte de recours (ibid.),</w:t>
      </w:r>
    </w:p>
    <w:p>
      <w:r>
        <w:t>- 4 - qu’en revanche, lorsqu’elle a recouru dans le délai de demande de motivation, la partie recourante peut déposer un nouvel acte de recours motivé dans le délai de recours proprement dit, soit dans les dix jours suivant la notification du prononcé motivé (art. 321 al. 2 CPC), qu’en l’espèce, la poursuite en cause est fondée sur un acte de défaut de biens après saisie d’un montant de 947 fr. 10, délivré le 5 juin 2014 à la poursuivante, dont la raison sociale était alors [...] AG, par l’Office des poursuites du district de Lausanne, dans une précédente poursuite (n° 6’466’341) fondée sur une reconnaissance de dette du 25 août 2010 portant sur un découvert (Offener Saldo) au 18 mai 2010 de frais de téléphonie, prétention cédée à la poursuivante le 24 juin 2010 (zedierte Forderung der Firma Salt Mobile SA (ex Orange Communications SA)), que le recours déposé le 9 juin 2021 par la poursuivie, dans le délai de demande de motivation, l’a été en temps utile, que cette écriture ne contient toutefois aucun grief ou moyen de recours contre le prononcé levant provisoirement l’opposition à la poursuite en cause, la poursuivie présentant une version des faits et des moyens de droit manifestement relatifs à une autre affaire que celle du cas d’espèce, que l’intéressée n'a pas déposé d'autre acte après que les motifs du prononcé lui ont été notifiés, que son acte de recours, faute d'être motivé conformément aux exigences posées par la loi et la jurisprudence, doit par conséquent être déclaré irrecevable ; attendu que le présent arrêt est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Mme R.________, - [...] AG (pour U.________AG). La Cour des poursuites et faillites considère que la valeur litigieuse est de 947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- 6 - dans les trente jours qui suivent la présente notification (art. 100 al. 1 LTF). Cet arrêt est communiqué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