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KC21.008319 vom 4. August 2021</w:t>
      </w:r>
    </w:p>
    <w:p>
      <w:r>
        <w:t>VD Tribunal cantonal, 2021-08-04, FR</w:t>
      </w:r>
    </w:p>
    <w:p>
      <w:r>
        <w:rPr>
          <w:b/>
        </w:rPr>
        <w:t xml:space="preserve">Quelle: </w:t>
      </w:r>
      <w:r>
        <w:t>https://mcp.opencaselaw.ch/entscheid/vd_gerichte_KC21.008319</w:t>
      </w:r>
    </w:p>
    <w:p>
      <w:r>
        <w:t>FR: VD_GERICHTE KC21.008319 du 4 août 2021</w:t>
      </w:r>
    </w:p>
    <w:p>
      <w:r>
        <w:t>IT: VD_GERICHTE KC21.008319 del 4 agosto 2021</w:t>
      </w:r>
    </w:p>
    <w:p>
      <w:pPr>
        <w:pStyle w:val="Heading2"/>
      </w:pPr>
      <w:r>
        <w:t>Volltext</w:t>
      </w:r>
    </w:p>
    <w:p>
      <w:r>
        <w:t>TRIBUNAL CANTONAL KC21.008319-210999 158 CO UR DE S P OURSUITES ET FAILL ITES ________________________________________________ Arrêt du 4 août 2021 __________________ Composition :M. HACK, président Mmes Rouleau et Cherpillod, juges Greffier : Mme Debétaz Ponnaz ***** Art. 321 al. 1 CPC Vu le prononcé rendu le 5 mai 2021, à la suite de l’interpellation de la partie poursuivie, par la Juge de paix du district de l’Ouest lausannois, dans la poursuite n° 9'617'943 de l’Office des poursuites du même district exercée contre C.________, à [...], à l’instance d’O.________AG, à [...], prononçant la mainlevée provisoire de l’opposition à concurrence de 19'619 fr. 70 (I), arrêtant à 360 fr. les frais judiciaires, compensés avec l’avance de frais de la poursuivante (II), mettant les frais à la charge du poursuivi (III) et disant que ce dernier remboursera à la poursuivante son avance de frais à concurrence de 360 fr., sans allocation de dépens pour le surplus (IV), 111</w:t>
      </w:r>
    </w:p>
    <w:p>
      <w:r>
        <w:t>- 2 - vu la notification de ce dispositif au poursuivi le 10 mai 2021, vu la demande de motivation formulée par le poursuivi par lettre adressée à la juge de paix le 15 mai 2021, vu les motifs du prononcé adressés aux parties le 10 juin 2021 et notifiés au poursuivi le 11 juin 2021, vu le recours formé contre ce prononcé par le poursuivi par acte déposé le 21 juin 2021,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w:t>
      </w:r>
    </w:p>
    <w:p>
      <w:r>
        <w:t>- 3 - un acte d’appel (TF 5A_205/2020 du 15 juin 2020, consid. 3.3 ; TF 5D_33/2020 du 6 juin 2020 consid. 4.2 ;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141 III 569 consid. 2.3.3), que ni l’art. 132 al. 1 et 2, ni l’art. 56 CPC ne sont applicables en cas d’absence de motivation d’un acte de recours (TF 5A_206/2016 précité consid. 4.2.2 ; TF 5A_488/2015 précité consid. 3.2.2), qu’en l’espèce, la juge de paix a considéré que l’acte de défaut de biens après saisie produit par la poursuivante valait titre de mainlevée provisoire pour le montant de 19'619 fr. 70 réclamé en poursuite et que le poursuivi ne rendait pas vraisemblable ne pas être débiteur de ce montant, que le recourant ne critique pas le raisonnement de la juge de paix, qu’il expose avoir été hospitalisé au moment où est « arrivé à la maison » le courrier recommandé par lequel la juge lui transmettait la requête de mainlevée et lui fixait un délai de détermination, qu’il ne demande cependant pas une restitution du délai pour se déterminer, que d’ailleurs, le courrier recommandé en question, adressé le 18 mars 2021 au recourant, lui est parvenu au plus tard le 26 mars 2021 en tenant compte d’un éventuel délai de garde,</w:t>
      </w:r>
    </w:p>
    <w:p>
      <w:r>
        <w:t>- 4 - que l’attestation produite par le recourant indique qu’il a été hospitalisé à partir du 4 avril 2021, soit neuf jours plus tard, que le recourant expose en outre être dans l’incapacité d’honorer sa dette dans sa situation financière actuelle, que la situation financière du débiteur est sans pertinence au stade de la mainlevée, l’office des poursuites en tenant compte au moment de la saisie, le cas échéant, que l’acte de recours, faute de contenir une motivation satisfaisant aux exigences de la loi et de la jurisprudence en la matière, est irrecevable ; attendu que le présent arrêt peut être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La greffière :</w:t>
      </w:r>
    </w:p>
    <w:p>
      <w:r>
        <w:t>- 5 - Du L'arrêt qui précède, dont la rédaction a été approuvée à huis clos, est notifié, par l'envoi de photocopies, à : - M. C.________, - O.________AG. La Cour des poursuites et faillites considère que la valeur litigieuse est de 19'619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