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KC21.006510 vom 23. Juni 2021</w:t>
      </w:r>
    </w:p>
    <w:p>
      <w:r>
        <w:t>VD Tribunal cantonal, 2021-06-23, FR</w:t>
      </w:r>
    </w:p>
    <w:p>
      <w:r>
        <w:rPr>
          <w:b/>
        </w:rPr>
        <w:t xml:space="preserve">Quelle: </w:t>
      </w:r>
      <w:r>
        <w:t>https://mcp.opencaselaw.ch/entscheid/vd_gerichte_KC21.006510</w:t>
      </w:r>
    </w:p>
    <w:p>
      <w:r>
        <w:t>FR: VD_GERICHTE KC21.006510 du 23 juin 2021</w:t>
      </w:r>
    </w:p>
    <w:p>
      <w:r>
        <w:t>IT: VD_GERICHTE KC21.006510 del 23 giugno 2021</w:t>
      </w:r>
    </w:p>
    <w:p>
      <w:pPr>
        <w:pStyle w:val="Heading2"/>
      </w:pPr>
      <w:r>
        <w:t>Volltext</w:t>
      </w:r>
    </w:p>
    <w:p>
      <w:r>
        <w:t>TRIBUNAL CANTONAL KC21.006510-210783 130 CO UR DE S P OURSUITES ET FAILL ITES ________________________________________________ Arrêt du 23 juin 2021 __________________ Composition :M. MAILLARD, juge présidant Mmes Giroud Walther et Cherpillod, juges Greffier : Mme Umulisa Musaby ***** Art. 8a CDPJ ; 321 al. 1 et 326 al. 1 CPC Vu le prononcé du 16 avril 2021, adressé aux parties sous forme de dispositif le même jour et notifié au poursuivi K.________, à Aigle, le 21 suivant, par lequel la Juge de paix du district d’Aigle a prononcé la mainlevée définitive, à concurrence de 225 fr., sans intérêt, de l’opposition formée par le poursuivi au commandement de payer n° 9’783’888 de l’Office des poursuites du district d’Aigle qui lui avait été notifié à l’instance de l’ETAT DE VAUD, représenté par la Direction générale des affaires institutionnelles et des communes (DGAIC), Direction du recouvrement, a arrêté à 90 fr. les frais judiciaires, les a mis à la charge du poursuivi et a dit que celui-ci rembourserait au poursuivant son avance de frais à concurrence de 90 fr., sans allocation de dépens pour le surplus, 111</w:t>
      </w:r>
    </w:p>
    <w:p>
      <w:r>
        <w:t>- 2 - vu le renvoi de ce dispositif à la justice de paix par le poursuivi, les 21 et 30 avril 2021, annoté afin d’en demander la motivation, vu les motifs du prononcé, adressés aux parties le 7 mai 2021 et notifiés au poursuivi le 10 mai suivant, vu l’acte de recours posté le 14 mai 2021 par le poursuivi, adressé à la juge de paix et transmis à la cour de céans, autorité de recours ; attendu que le recours au sens des art. 319 ss CPC (Code de procédure civile ; RS 272) doit être introduit auprès de l'instance de recours par acte écrit et motivé (art. 321 al. 1 CPC), dans les dix jours à compter de la notification de la décision motivée (art. 321 al. 2 CPC) ; qu’en l’espèce, l'acte du recourant valant demande de motivation, ainsi que l’acte de recours, ont été déposés en temps utile ; attendu que les allégations de fait et les réquisitions de preuve formulées par le recourant, en deuxième instance seulement, ne sont pas recevables au regard de l’art. 326 al. 1 CPC ; qu’il en va de même de la requête du recourant tendant à la récusation de la Justice de paix du district d’Aigle, qu’en effet, la cour de céans n’est pas l’autorité compétente pour statuer sur une telle requête (cf. art. 8a CDPJ [Code de droit privé judiciaire vaudois du 12 janvier 2010 ; BLV 211.01 ; art. 6 du Règlement organique du Tribunal cantonal (ROTC) du 13 novembre 2007 ; BLV 173.31.1), étant au demeurant relevé que, selon la jurisprudence du</w:t>
      </w:r>
    </w:p>
    <w:p>
      <w:r>
        <w:t>- 3 - Tribunal fédéral, il n’y a pas lieu d’entrer en matière sur une requête dirigée globalement de manière non motivée contre l’ensemble des membres d’un tribunal (TF 5A_489/2017 du 29 novembre 2017 consid. 3.3 ; 5A_194/2014 du 21 mai 2014 consid. 3.5) ; attendu que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CPC, ni l’art. 56 CPC ne sont applicables en cas d’absence de motivation d’un acte de recours (TF</w:t>
      </w:r>
    </w:p>
    <w:p>
      <w:r>
        <w:t>- 4 - 5A_488/2015 du 21 août 2015 consid. 3.2.1 et 3.2.2, publié in RSPC 6/2015 pp. 512 s., et les arrêts cités), qu’à défaut de motivation - dans le délai légal -, l’instance de recours n’entre pas en matière ;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contentieux de la mainlevée d'opposition, soumis à la procédure sommaire (art. 251 let. a CPC), est une procédure sur pièces (Urkundenprozess; art. 254 al. 1 CPC), dont le but n'est pas de constater la réalité de la créance en poursuite, mais l'existence d'un titre exécutoire (cf. art. 80 al. 2 ch. 2 LP), que le juge de la mainlevée doit vérifier si la créance en poursuite résulte de cet acte, mais n'a pas à se prononcer sur l’existence matérielle de la créance, ni sur le bien-fondé de la décision qui l'a sanctionnée (ATF 143 III 564 consid. 4.3.1 ; ATF 132 III 140, rés. in JdT 2006 Il 187 ; TF 5A_427/2011 du 10 octobre 2011 consid. 2) ; attendu, en l’espèce, qu’en prononçant la mainlevée définitive de l’opposition, la première juge a considéré que le poursuivant avait produit un titre à la mainlevée définitive (une ordonnance de non-entrée en matière du 25 juin 2020, devenue définitive et exécutoire) pour le montant réclamé en poursuite, tandis que le poursuivi n’avait fait valoir aucun moyen libératoire, que le recourant conteste le prononcé entrepris, en invoquant des litiges qu’il aurait eu avec plusieurs autorités, mais ne formule pas de critique ciblée quant au raisonnement de la première juge,</w:t>
      </w:r>
    </w:p>
    <w:p>
      <w:r>
        <w:t>- 5 - qu’il ne peut dès lors pas être entré en matière sur son recours ; attendu par ailleurs que si l’acte de recours tend à l’octroi de l’assistance judiciaire par la désignation d’un avocat d’office, cette demande doit être rejetée, car le recours, manifestement irrecevable, était d’emblée dénué de toute chance de succès (art. 117 let. b CPC) ; attendu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w:t>
      </w:r>
    </w:p>
    <w:p>
      <w:r>
        <w:t>- 6 - - M. K.________ - ETAT DE VAUD- DGAIC La Cour des poursuites et faillites considère que la valeur litigieuse est de 225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