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KC20.051361 vom 15. September 2021</w:t>
      </w:r>
    </w:p>
    <w:p>
      <w:r>
        <w:t>VD Tribunal cantonal, 2021-09-15, FR</w:t>
      </w:r>
    </w:p>
    <w:p>
      <w:r>
        <w:rPr>
          <w:b/>
        </w:rPr>
        <w:t xml:space="preserve">Quelle: </w:t>
      </w:r>
      <w:r>
        <w:t>https://mcp.opencaselaw.ch/entscheid/vd_gerichte_KC20.051361</w:t>
      </w:r>
    </w:p>
    <w:p>
      <w:r>
        <w:t>FR: VD_GERICHTE KC20.051361 du 15 septembre 2021</w:t>
      </w:r>
    </w:p>
    <w:p>
      <w:r>
        <w:t>IT: VD_GERICHTE KC20.051361 del 15 settembre 2021</w:t>
      </w:r>
    </w:p>
    <w:p>
      <w:pPr>
        <w:pStyle w:val="Heading2"/>
      </w:pPr>
      <w:r>
        <w:t>Erwägungen</w:t>
      </w:r>
    </w:p>
    <w:p>
      <w:r>
        <w:rPr>
          <w:b/>
        </w:rPr>
        <w:t>E. 1</w:t>
      </w:r>
    </w:p>
    <w:p>
      <w:r>
        <w:t>Le 4 décembre 2020, à la réquisition de V.________ SA, l’Office des poursuites du district du Jura-Nord vaudois a notifié à Z.________ SA, dans la poursuite n° 9'794'366, un commandement payer la somme de 50'000 fr. avec intérêt à 5 % l’an dès le 1er octobre 2018, indiquant comme titre de la créance ou cause de l’obligation : « Contrat de prêt du 01.03.2018 (chiffre 7) ». La poursuivie a formé opposition totale.</w:t>
      </w:r>
    </w:p>
    <w:p>
      <w:r>
        <w:rPr>
          <w:b/>
        </w:rPr>
        <w:t>E. 2</w:t>
      </w:r>
    </w:p>
    <w:p>
      <w:r>
        <w:t>a) Par acte du 18 décembre 2020, la poursuivante a requis du Tribunal d’arrondissement de la Broye et du Nord vaudois qu’il prononce, avec suite de frais et dépens, la mainlevée provisoire de l’opposition à concurrence du montant en poursuite, en capital et intérêts. A l’appui de sa requête, elle a produit, outre le commandement de payer susmentionné, notamment les pièces suivantes : - une copie d’un contrat de prêt signé par les parties le 1er mars 2018 prévoyant notamment à ses chiffres 6 et 7 ce qui suit : « 6. Z.________ SA s’engage à signer exclusivement avec V.________ SA, jusqu’au plus tard au 30 septembre 2018, un contrat d’entreprise totale relatif au projet de promotion immobilière à [...]. En cas de signature d’un tel contrat d’entreprise jusqu’au 30 septembre 2018, V.________ SA renonce à percevoir un intérêt sur le prêt accordé (…).</w:t>
      </w:r>
    </w:p>
    <w:p>
      <w:r>
        <w:rPr>
          <w:b/>
        </w:rPr>
        <w:t>E. 2.6</w:t>
      </w:r>
    </w:p>
    <w:p>
      <w:r>
        <w:t>; ATF 138 III 489 consid. 3.2.4 ; TF 4A_224/2017 du 27 juin 2017 consid. 2.4.2). bb) En l’espèce, le premier juge a imparti à l’intimée, en lui notifiant la requête, un délai échéant le 8 février 2021 pour se déterminer en précisant qu’à défaut de déterminations, le prononcé serait rendu sur</w:t>
      </w:r>
    </w:p>
    <w:p>
      <w:r>
        <w:t>- 7 - la base du dossier. Le 8 février 2021, l’intimée a requis une prolongation de ce délai qui lui a été accordée au 8 mars 2021. L’intimée ne s’étant pas déterminée à cette date, le premier juge devait rendre sa décision et ne pouvait prolonger d’office la prolongation, comme il l’a fait par courrier du 19 mars 2021. La question de la recevabilité de ces déterminations, notamment au vu du principe de la bonne foi en procédure, peut cependant demeurer indécise, au vu de ce qui suit. b) La recourante fait grief au premier juge de ne pas lui avoir communiqué la demande de prolongation du délai de déterminations du 8 février 2021 ni les déterminations de l’intimée du 12 avril 2021. aa)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ATF 139 II 489 consid. 3.3 ; ATF 139 I 189 consid. 3.2 ; ATF 138 I 484 consid. 2.1 ; ATF 138 I 154 consid. 2.3.3 ; ATF 137 I 195 consid. 2.3.1).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"toute prise de position" versée au dossier, quelle que soit sa dénomination procédurale (réponse, réplique, prise de position, etc.; ATF 142 III 48 précité ; ATF 133 I 100 consid. 4.5, ATF 133 I 98 consid. 2.2; ATF 132 I 42 consid. 3.3.2-3.3.4); même si le juge renonce à ordonner un nouvel échange d'écritures, il doit néanmoins transmettre cette prise de position aux autres parties (ATF 142 III 48 précité ; ATF 139 I 189 consid.</w:t>
      </w:r>
    </w:p>
    <w:p>
      <w:r>
        <w:t>- 8 - 3.2; ATF 138 I 484 consid. 2.2; TF 2C_560/2012 du 21 janvier 2013 consid. 4.3, in RF 68/2013 p. 405; TF 5A_535/2012 du 6 décembre 2012 consid. 2.3; TF 5A_779/2010 du 1er avril 2011 consid. 2.2, in Pra 2012 n. 1 p. 1). Secondement, le juge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arrêt 2C_560/2012 du 21 janvier 2013 consid. 4.4 et les références, in RF 68/2013 p. 405). A cet égard, le Tribunal fédéral considère qu'un délai inférieur à dix jours ne suffit pas à garantir l'exercice du droit de répliquer, tandis qu'un délai supérieur à vingt jours permet, en l'absence de réaction, d'inférer qu'il a été renoncé au droit de répliquer (TF 5D_74/2019 du 29 mai 2019 consid. 4.1 ; TF 5A_923/2018 du 6 mai 2019 consid. 4.2.1 ; TF 5A_967/2018 du 28 janvier 2019 consid. 3.1.1 et les références).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références; TF 5D_74/2019 du 29 mai 2019 consid. 4.1). bb) Contrairement à ce qui est prévu à l’art. 149 CPC en matière de restitution, l’art. 144 CPC ne prévoit pas expressément que la partie adverse soit invitée à s’exprimer sur une requête de prolongation de délai. Si la règle générale de l’art. 53 CPC s’applique en cette matière, le respect du droit d’être entendu ne doit pas entraîner un ralentissement inutile de la procédure. Merz admet que l’on puisse renoncer à demander les déterminations de la partie adverse en matière de prolongation de délai lorsque celles-ci porteraient sur des éléments et des requêtes</w:t>
      </w:r>
    </w:p>
    <w:p>
      <w:r>
        <w:t>- 9 - amenés en temps utile, recevables à la forme et qui servent à clarifier l’objet du litige, ou lorsqu’un intérêt fait défaut comme quand la requête de prolongation est rejetée (Merz, in Bruner/Gasser/Schwander, ZPO Kommentar, 2e éd., n. 14 ad art. 144 CPC). Il est généralement admis que le juge n’a en principe pas à solliciter les déterminations de la partie adverse, en tous cas pour l’octroi de la première prolongation (Benn, in Spühler/Tenchio/Infanger (éd.), Basler Kommentar ZPO, n. 12 ad art. 144 CPC), voire les deux premières (Merz, loc. cit. et références), ou encore uniquement en présence d’une demande inaccoutumée (prolongation particulièrement longue ou après plusieurs prolongations précédentes), si le requérant ne se prévaut pas déjà de l’accord du confrère de la partie adverse (Tappy, in Bohnet et alii (éd.), Commentaire romand, CPC, 2e éd., n. 17 ad art. 144 CPC). cc) Le droit d'être entendu est une garantie constitutionnelle de caractère formel, dont la violation entraîne en principe l'annulation de la décision attaquée, indépendamment des chances de succès du recours sur le fond (ATF 142 II 218 consid. 2.8.1 et les références TF 5D_74/2019 du 29 mai 2019 consid. 4.2).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5D_74/2019 du 29 mai 2019 consid. 4.1 ;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TF 5A_963/2018 du 6 mai 2019 consid. 4.2.1 et les références). dd) En l’espèce, la recourante ne conteste pas avoir reçu la décision du premier juge du 12 février 2021 accordant à l’intimée une</w:t>
      </w:r>
    </w:p>
    <w:p>
      <w:r>
        <w:t>- 10 - première prolongation du délai de déterminations. Au regard des considérations développées au ch. bb) ci-dessus, le fait que la recourante n’ait pu se déterminer sur cette requête de prolongation ne constitue pas une violation de son droit d’être entendue susceptible d’entraîner l’annulation du prononcé attaqué. ee) En revanche, l’absence de communication des déterminations, même sommaires, de l’intimée du 12 avril 2021, a empêché la recourante d’exercer son droit de se déterminer sur cette écriture, en particulier soutenir qu’elle était irrecevable. A supposer que les déterminations du 12 avril 2021 soient recevables, le droit d’être entendu de la recourante aurait ainsi été violé. Toutefois, comme on le verra, ces déterminations du 12 avril 2021 sont sans influence sur le sort de la question au fond. En outre, vu leur caractère sommaire, la recourante ne pourrait développer à leur sujet dans le cadre d’une réplique spontanée que des arguments limités. L’annulation du prononcé apparaît ainsi comme une vaine formalité au sens de la jurisprudence susmentionnée et il convient d’examiner le recours sous l’angle de la réforme. III. a)aa)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w:t>
      </w:r>
    </w:p>
    <w:p>
      <w:r>
        <w:t>- 11 -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Lorsque le jugement prévoit une condition suspensive, il incombe au créancier de prouver par titre immédiatement disponible sa réalisation, à moins que celle-ci ne soit reconnue sans réserve par le débiteur ou qu'elle ne soit notoire (ATF 143 III 564 consid. 4.2.2 ; ATF 141 III 489 consid. 9.2; TF 5D_88/2012 du 13 juillet 2012 consid. 4; TF 5A_487/2011 du 2 septembre 2011 consid. 3.2 et les références; TF 5P.324/2005 du 22 février 2006 consid. 3.2; dans le même sens pour la condition résolutoire à prouver par le débiteur: cf. ATF 143 III 564 précité et références). Toutefois, si la condition suspensive consiste en un fait négatif (par ex., l’inexécution d’une prestation par le débiteur), la simple allégation de sa survenance par le poursuivant doit être suffisante pour le prononcé de mainlevée provisoire si le poursuivi ne conteste pas ou si sa contestation est manifestement sans consistance (Veuillet, in Abbet/Veuillet (éd.). La mainlevée de l’opposition, n. 65 ad art. 82 LP ; Staehelin, in Staehelin/Bauer/Staehelin, Basler Kommentar, SchKG I, 2e éd., n. 36 ad art. 82 LP). bb) En l’espèce, les parties ont signé le 1er mars 2018 un contrat de prêt prévoyant notamment à ses chiffres 6 et 7 ce qui suit :</w:t>
      </w:r>
    </w:p>
    <w:p>
      <w:r>
        <w:t>- 12 - « 6. Z.________ SA s’engage à signer exclusivement avec V.________ SA, jusqu’au plus tard au 30 septembre 2018, un contrat d’entreprise totale relatif au projet de promotion immobilière à [...]. En cas de signature d’un tel contrat d’entreprise jusqu’au 30 septembre 2018, V.________ SA renonce à percevoir un intérêt sur le prêt accordé (…).</w:t>
      </w:r>
    </w:p>
    <w:p>
      <w:r>
        <w:rPr>
          <w:b/>
        </w:rPr>
        <w:t>E. 7</w:t>
      </w:r>
    </w:p>
    <w:p>
      <w:r>
        <w:t>Z.________ SA s’engage à payer à V.________ SA, en sus du remboursement du prêt, un montant de CHF 50'000.00 (cinquante mille francs) si les Parties ne devaient pas signer ce contrat d’entreprise totale d’ici le 30 septembre 2018 pour le projet de promotion immobilière à [...]. » ; La poursuivie s’est donc engagée à verser la somme de 50'000 fr. sous la condition suspensive de l’absence de signature d’un contrat confiant à la recourante des travaux à [...] au 30 septembre 2018. S’agissant d’un fait négatif, il appartenait à l’intimée de contester avec consistance l’allégation de la recourante selon laquelle le contrat n’avait pas été signé, allégation corroborée par le courriel du 31 juillet 2020 dans lequel la recourante rejette une proposition de l’intimée et réclame le remboursement du prêt susmentionné, ainsi que le versement du montant de 50'000 fr. avec intérêt à 5 % l’an dès le 1er octobre 2018. On ne saurait considérer l’allégation de l’intimée selon laquelle « elle est actuellement en compte avec V.________ SA et qu’elle a des prétentions à l’encontre de cette dernière, qu’elle invoque en compensation », comme une contestation suffisante de la réalisation de la condition suspensive litigieuse et l’intimée n’a en particulier produit aucun contrat signé avant le 30 septembre 2018 confiant à la recourante des travaux à [...], collaboration que l’on pouvait exiger d’elle en application des règles de la bonne foi en présence d’un fait négatif (ATF 133 V 205 consid. 5.5 ; ATF 100 Ia 12 consid. 4a, JdT 1975 I 226 ; TF 5A_763/2018 du 1er juillet 2019 consid. 6.3.4). La recourante est donc au bénéfice d’un titre à la mainlevée provisoire pour la somme de 50'000 fr., avec intérêt à 5 % l’an dès le 1er août 2020, lendemain de l’envoi du courriel du 30 juillet 2020.</w:t>
      </w:r>
    </w:p>
    <w:p>
      <w:r>
        <w:t>- 13 - b)aa) Conformément à l'art. 82 al. 2 LP, le poursuivi peut faire échec à la mainlevée provisoire de l'opposition en rendant immédiatement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notamment la compensation (ATF 131 III 268 consid. 3.2 p. 273; 124 III 501 consid. 3b p. 503; 105 II 183 consid. 4a p. 187; TF 5A_905/2010 du 10 août 2011 consid. 2.1). Lorsqu’il invoque ce moyen, il incombe au débiteur poursuivi de rendre vraisemblable la créance compensante et le montant exact à concurrence duquel la dette serait éteinte (art. 124 al. 1 CO [Code des obligations du 30 mars 1911 ; RS 220]; ATF 136 III 624 consid. 4.2.3 p. 626; Staehelin, op. cit., n° 94 ad art. 82 LP ; Veuillet, op. cit. n. 126 ad art. 82 LP ; Krauskopf, La mainlevée provisoire ; quelques jurisprudences récentes, in JdT 2008 II 23 ss, et les réf. cit., note infrapaginale 152).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pp. 198- 199; Schmidt, Commentaire romand, n° 30 ad art. 82 LP ; Veuillet, loc. cit.). Les preuves produites par le débiteur poursuivi doivent rendre vraisemblable le fait libératoire (ATF 132 III 140 consid. 4.1.2 p. 143).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p. 144; 130 III 321 consid. 3.3 p. 325). bb) En l’espèce, l’intimée s’est bornée à déclarer « qu’elle a des prétentions à l’encontre de cette dernière, qu’elle invoque en compensation », ce qui est clairement insuffisant pour s’opposer à l’octroi de la mainlevée provisoire.</w:t>
      </w:r>
    </w:p>
    <w:p>
      <w:r>
        <w:t>- 14 - IV. En conclusion, le recours doit être admis et le prononcé réformé en ce sens que l’opposition est levée provisoirement à concurrence de 50'000 fr. avec intérêt à 5 % l’an dès le 1er août 2020. Vu l’issue du recours, les frais judiciaires de première instance, arrêtés à 360 fr. (art. 48 OELP [ordonnance du 23 septembre 1996 sur les émoluments perçus en application de la LP ; RS 281.35), doivent être mis à la charge de la poursuivie, qui doit en rembourser l’avance à la poursuivante (art. 106 al. 1 et 111 al. 2 CPC). Il n’y a pas lieu d’allouer de dépens de première instance, la poursuivante ayant agi sans l’assistance d’un mandataire professionnel. Pour les mêmes raisons, les frais judiciaires de deuxième instance, arrêtés à 540 fr. (art. 48 et 61 OELP), sont mis à la charge de l’intimée, qui en remboursera l’avance à la recourante,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