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KC20.049961 vom 19. Januar 2021</w:t>
      </w:r>
    </w:p>
    <w:p>
      <w:r>
        <w:t>VD Tribunal cantonal, 2021-01-19, FR</w:t>
      </w:r>
    </w:p>
    <w:p>
      <w:r>
        <w:rPr>
          <w:b/>
        </w:rPr>
        <w:t xml:space="preserve">Quelle: </w:t>
      </w:r>
      <w:r>
        <w:t>https://mcp.opencaselaw.ch/entscheid/vd_gerichte_KC20.049961</w:t>
      </w:r>
    </w:p>
    <w:p>
      <w:r>
        <w:t>FR: VD_GERICHTE KC20.049961 du 19 janvier 2021</w:t>
      </w:r>
    </w:p>
    <w:p>
      <w:r>
        <w:t>IT: VD_GERICHTE KC20.049961 del 19 gennaio 2021</w:t>
      </w:r>
    </w:p>
    <w:p>
      <w:pPr>
        <w:pStyle w:val="Heading2"/>
      </w:pPr>
      <w:r>
        <w:t>Volltext</w:t>
      </w:r>
    </w:p>
    <w:p>
      <w:r>
        <w:t>TRIBUNAL CANTONAL KC20.049961-210681 108 CO UR DE S P OURSUITES ET FAILL ITES ________________________________________________ Arrêt du __________________ Composition :M. HACK, président Mmes Rouleau et Giroud Walther, juges Greffier : Mme Joye ***** Art. 239 al. 2 et 321 al. 1 CPC Vu le prononcé rendu le 19 janvier 2021, à la suite de l’audience du 18 janvier 2021, par la Juge de paix du district de Nyon, prononçant la mainlevée provisoire de l’opposition formée par T.________, à Genolier...], à la poursuite n° 9'751’477 de l’Office des poursuites du district de Nyon exercée à l’instance de F.________, à Genève, portant sur les montants de 290 fr. 80 avec intérêt à 5% dès le 9 novembre 2019, 290 fr. 80 avec intérêt à 5% dès le 8 mai 2020, 290 fr. 80 avec intérêt à 5% dès le 13 août 2020 et 290 fr. 80 avec intérêt à 5% dès le 7 novembre 2020, arrêtant à 150 fr. les frais judiciaires, compensés avec l’avance de frais de la poursuivante, les mettant à la charge du poursuivi et disant que ce dernier 111</w:t>
      </w:r>
    </w:p>
    <w:p>
      <w:r>
        <w:t>- 2 - remboursera à la poursuivante son avance de frais à concurrence de 150 francs, sans allocation de dépens pour le surplus, vu l’envoi de ce dispositif aux parties le 22 janvier 2021 et sa notification au poursuivi le 25 janvier 2021, vu l’écriture datée du 3 et postée le 4 février 2021 par laquelle T.________ déclare faire « opposition de ce prononcé en mettant à ma charge les frais », indiquant que « F.________ a promis de prendre contact avec moi, ce qui à ce jour n’a pas été fait » et que « je ne paierais pas ces frais tant que cette entreprise ne m’a pas contacté », vu les motifs du prononcé adressés aux parties le 24 mars 2021 et notifiés au poursuivi le 25 mars 2021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l’acte posté le 4 février 2021, que l’on comprend comme un recours contre les frais judiciaires mis à la charge du poursuivi, a été déposé dans le délai de demande de motivation, soit en temps utile, que T.________ n’a déposé aucune écriture dans le délai de recours à proprement parler, soit dans le délai de dix jours suivant la notification du prononcé motivé ;</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 que la motivation du recours, si elle n’est pas immédiate, doit à tout le moins être produite dans le délai de recours, qu’à défaut de motivation - dans le délai légal -, l’instance de recours n’entre pas en matière, qu’en l’espèce, dans son écriture du 4 février 2021, le recourant se borne à dire qu’il conteste les frais au motif que la poursuivante ne l’a pas contacté, qu’il n’a déposé aucune écriture après avoir eu connaissance des motifs de la décision,</w:t>
      </w:r>
    </w:p>
    <w:p>
      <w:r>
        <w:t>- 4 - que le recourant ne critique ainsi pas les considérants du prononcé, selon lequel les frais judiciaires, arrêtés à 150 fr., ont été mis à sa charge car il a succombé, que faute de motivation satisfaisant aux exigences de la loi et de la jurisprudence en la matière, le recours est irrecevable ; attendu, au surplus, que même s’il avait été recevable, le recours aurait dû être rejeté, qu’en effet, la poursuivante ayant obtenu entièrement gain de cause sur sa requête de mainlevée – ce que le recourant ne conteste pas – c’est à juste titre que le premier juge a mis les frais judiciaires à la charge du poursuivi – qui a succombé – en vertu de l’art. 106 al. 1 CPC, que le montant des frais, arrêté à 150 fr. au vu de la valeur litigieuse, en vertu art. 48 OELP (ordonnance sur les émoluments perçus en application de la LP; RS 281.35), échappe également à la critique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 T.________, - F.________. La Cour des poursuites et faillites considère que la valeur litigieuse est de 1’163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