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KC20.045966 vom 29. September 2021</w:t>
      </w:r>
    </w:p>
    <w:p>
      <w:r>
        <w:t>VD Tribunal cantonal, 2021-09-29, FR</w:t>
      </w:r>
    </w:p>
    <w:p>
      <w:r>
        <w:rPr>
          <w:b/>
        </w:rPr>
        <w:t xml:space="preserve">Quelle: </w:t>
      </w:r>
      <w:r>
        <w:t>https://mcp.opencaselaw.ch/entscheid/vd_gerichte_KC20.045966</w:t>
      </w:r>
    </w:p>
    <w:p>
      <w:r>
        <w:t>FR: VD_GERICHTE KC20.045966 du 29 septembre 2021</w:t>
      </w:r>
    </w:p>
    <w:p>
      <w:r>
        <w:t>IT: VD_GERICHTE KC20.045966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M.________SA (ci-après : la poursuivie ou la recourante) dans la poursuite ordinaire n° 9640912, un commandement de payer les montants de (1) 786 fr., plus intérêt à 5% l’an dès le 8 avril 2019, et (2) 25 fr., sans intérêt, indiquant ce qui suit comme titre et date de la créance ou cause de l’obligation : « 1) Facture n°51-19 : Taxe automobile 01.01.2019-31.12.2019 (BMW)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943 fr. 55. A l’appui de sa requête, il a produit – en sus de l’original du commandement de payer précité – notamment les pièces suivantes, en copie : - une décision du 2 octobre 2020 « relative à la facture N° 51-19 d’un montant total de CHF 943.55 – VD [...] Poursuite N° 9640912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786.00 - émolument pour deuxième rappel + CHF 25.00 - frais commandement de payer n° 9640937 + CHF 132.55</w:t>
      </w:r>
    </w:p>
    <w:p>
      <w:r>
        <w:t>- 3 - Total CHF 943.55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 10 octobre 2012, constatant de graves manquements de sa part à ses obligations (respect des délais de paiement des factures relatives au</w:t>
      </w:r>
    </w:p>
    <w:p>
      <w:r>
        <w:t>- 4 -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31 décembre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786 fr., plus intérêts au taux de 5% l’an dès le 3 novembre 2020, et de 25 fr., sans intérêt (I), a arrêté à 120 fr. les frais judiciaires, compensés avec l’avance de frais du poursuivant (II), les a mis à la charge de la poursuivie (III) et a dit qu’en conséquence, celle-ci rembourserait au poursuivant son</w:t>
      </w:r>
    </w:p>
    <w:p>
      <w:r>
        <w:t>- 5 -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786 fr. et 25 fr., le premier montant portant intérêt dès le lendemain du délai de paiement accordé dans ladite décision, à défaut pour le poursuivant d’avoir produit la facture n° 51-19.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 instance pour nouvelle décision dans le sens des considérants. Elle a requis l’effet suspensif. Par ailleurs, elle a requis la jonction, dans la</w:t>
      </w:r>
    </w:p>
    <w:p>
      <w:r>
        <w:t>- 6 -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w:t>
      </w:r>
    </w:p>
    <w:p>
      <w:r>
        <w:t>- 7 - de dire que les arguments invoqués auraient dû être développés dans le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w:t>
      </w:r>
    </w:p>
    <w:p>
      <w:r>
        <w:t>- 8 - références). Il est admis que la collectivité cocontractante peut prendre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w:t>
      </w:r>
    </w:p>
    <w:p>
      <w:r>
        <w:t>- 10 - jurisprudence, n. 8.2.1 ad art. 311 CPC et 6.1 et 6.2 ad art. 321 CPC et les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w:t>
      </w:r>
    </w:p>
    <w:p>
      <w:r>
        <w:t>- 11 - Mal fondé, le moyen doit être rejeté.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