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KC20.045952 vom 29. September 2021</w:t>
      </w:r>
    </w:p>
    <w:p>
      <w:r>
        <w:t>VD Tribunal cantonal, 2021-09-29, FR</w:t>
      </w:r>
    </w:p>
    <w:p>
      <w:r>
        <w:rPr>
          <w:b/>
        </w:rPr>
        <w:t xml:space="preserve">Quelle: </w:t>
      </w:r>
      <w:r>
        <w:t>https://mcp.opencaselaw.ch/entscheid/vd_gerichte_KC20.045952</w:t>
      </w:r>
    </w:p>
    <w:p>
      <w:r>
        <w:t>FR: VD_GERICHTE KC20.045952 du 29 septembre 2021</w:t>
      </w:r>
    </w:p>
    <w:p>
      <w:r>
        <w:t>IT: VD_GERICHTE KC20.045952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M.________SA (ci-après : la poursuivie ou la recourante) dans la poursuite ordinaire n° 9640937, un commandement de payer les montants de (1) 470 fr. 60, plus intérêt à 5% l’an dès le 8 avril 2019, et (2) 25 fr., sans intérêt, indiquant ce qui suit comme titre et date de la créance ou cause de l’obligation : « 1) Facture n°23-19 : Taxe automobile 01.01.2019-17.08.2019 (BMW) + Frais dépôt de plaques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60 fr. 55, pour un total de 556 fr. 15. A l’appui de sa requête, il a produit – en sus de l’original du commandement de payer précité – notamment les pièces suivantes, en copie : - une décision du 2 octobre 2020 « relative à la facture N° 23-19 d’un montant total de CHF 556.15 – VD [...] Poursuite N° 9640937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721.50 - émolument pour deuxième rappel + CHF 25.00 - remboursement taxe automobile 17.08.2019-31.12.2019 - CHF 270.90</w:t>
      </w:r>
    </w:p>
    <w:p>
      <w:r>
        <w:t>- 3 - - frais dépôt de plaques + CHF 20.00 - frais commandement de payer n° 9640937 + CHF 60.55 Total CHF 556.15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 10 octobre 2012, constatant de graves manquements de sa part à ses</w:t>
      </w:r>
    </w:p>
    <w:p>
      <w:r>
        <w:t>- 4 - obligations (respect des délais de paiement des factures relatives au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17 août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470 fr. 60, plus intérêts au taux de 5% l’an dès le 3 novembre 2020, et de 25 fr., sans intérêt (I), a arrêté à 90 fr. les frais judiciaires, compensés avec l’avance de frais du poursuivant (II), les a mis à la charge de la poursuivie</w:t>
      </w:r>
    </w:p>
    <w:p>
      <w:r>
        <w:t>- 5 - (III) et a dit qu’en conséquence, celle-ci rembourserait au poursuivant son avance de frais à concurrence de 90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470 fr. 60 et 25 fr., le premier montant portant intérêt dès le lendemain du délai de paiement accordé dans ladite décision, à défaut pour le poursuivant d’avoir produit la facture n° 23-19.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 instance pour nouvelle décision dans le sens des considérants. Elle a</w:t>
      </w:r>
    </w:p>
    <w:p>
      <w:r>
        <w:t>- 6 - requis l’effet suspensif. Par ailleurs, elle a requis la jonction, dans la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 de dire que les arguments invoqués auraient dû être développés dans le</w:t>
      </w:r>
    </w:p>
    <w:p>
      <w:r>
        <w:t>- 7 -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 références). Il est admis que la collectivité cocontractante peut prendre</w:t>
      </w:r>
    </w:p>
    <w:p>
      <w:r>
        <w:t>- 8 -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 jurisprudence, n. 8.2.1 ad art. 311 CPC et 6.1 et 6.2 ad art. 321 CPC et les</w:t>
      </w:r>
    </w:p>
    <w:p>
      <w:r>
        <w:t>- 10 -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 Mal fondé, le moyen doit être rejeté.</w:t>
      </w:r>
    </w:p>
    <w:p>
      <w:r>
        <w:t>- 11 - III. En conclusion, le recours doit être rejeté et le prononcé confirmé. Vu le rejet du recours, les frais judiciaires de deuxième instance, arrêtés à 135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