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KC20.045922 vom 10. Mai 2021</w:t>
      </w:r>
    </w:p>
    <w:p>
      <w:r>
        <w:t>VD Tribunal cantonal, 2021-05-10, FR</w:t>
      </w:r>
    </w:p>
    <w:p>
      <w:r>
        <w:rPr>
          <w:b/>
        </w:rPr>
        <w:t xml:space="preserve">Quelle: </w:t>
      </w:r>
      <w:r>
        <w:t>https://mcp.opencaselaw.ch/entscheid/vd_gerichte_KC20.045922</w:t>
      </w:r>
    </w:p>
    <w:p>
      <w:r>
        <w:t>FR: VD_GERICHTE KC20.045922 du 10 mai 2021</w:t>
      </w:r>
    </w:p>
    <w:p>
      <w:r>
        <w:t>IT: VD_GERICHTE KC20.045922 del 10 maggio 2021</w:t>
      </w:r>
    </w:p>
    <w:p>
      <w:pPr>
        <w:pStyle w:val="Heading2"/>
      </w:pPr>
      <w:r>
        <w:t>Erwägungen</w:t>
      </w:r>
    </w:p>
    <w:p>
      <w:r>
        <w:rPr>
          <w:b/>
        </w:rPr>
        <w:t>E. 1</w:t>
      </w:r>
    </w:p>
    <w:p>
      <w:r>
        <w:t>Le 4 novembre 2020, à la réquisition de C.________, représenté par G.________ Sàrl, l’Office des poursuites du district de la Riviera-Pays- d’Enhaut a notifié à W.________, dans la poursuite n° 9'763'869, un commandement de payer les sommes de 1) 7'500 fr. avec intérêt à 6 % l’an dès le 1er juillet 2020, 2) 150 fr. avec intérêt à 6 % l’an dès le 1er juillet 2020 et 3) 850 fr. avec intérêt à 6 % l’an dès le 1er juillet 2020, indiquant comme titre de la créance ou cause de l’obligation : « 1. Remboursement de caution relative au contrat de sous-location Facture n° [...]7</w:t>
      </w:r>
    </w:p>
    <w:p>
      <w:r>
        <w:rPr>
          <w:b/>
        </w:rPr>
        <w:t>E. 2</w:t>
      </w:r>
    </w:p>
    <w:p>
      <w:r>
        <w:t>Frais d’identification et contrôle de solvabilité</w:t>
      </w:r>
    </w:p>
    <w:p>
      <w:r>
        <w:rPr>
          <w:b/>
        </w:rPr>
        <w:t>E. 3</w:t>
      </w:r>
    </w:p>
    <w:p>
      <w:r>
        <w:t>Par prononcé non motivé du 12 janvier 2021, notifié au poursuivant le lendemain, le Juge de paix du district de la Riviera-Pays- d’Enhaut a rejeté la requête de mainlevée (I), a fixé les frais judiciaires à 210 fr. (II), les a mis à la charge du poursuivant (III) et n’a pas alloué de dépens (IV).</w:t>
      </w:r>
    </w:p>
    <w:p>
      <w:r>
        <w:t>- 4 - Le 14 janvier 2021, le poursuivant a fait opposition motivée au prononcé et en a demandé la motivation. Les motifs du prononcé ont été adressés aux parties le 16 février 2021 et notifiés au poursuivant le lendemain. En substance, le premier juge a relevé qu’il ignorait si le montant de la garantie de 7'500 fr. avait été versé sur un compte bancaire ou non et si le sous-bail objet du contrat du 1er janvier 2020 avait pris fin et à quelle date. Il en a déduit que le poursuivant n’avait pas établi par pièce qu’il avait un droit à la restitution de cette garantie. En outre, le contrat du 1er janvier 2020 mentionnait X.________ comme sous-bailleresse et le poursuivi n’avait pas signé ce contrat. Il n’y avait donc pas identité entre le débiteur selon le contrat et le poursuivi. Il n’était en outre pas vraisemblable que l’activité de bailleresse de l’épouse du poursuivi avait entrainé la solidarité passive du poursuivant en vertu du droit matrimonial. Au surplus, le poursuivant n’avait produit aucun titre à la mainlevée pour les montants de 150 fr. et 850 francs.</w:t>
      </w:r>
    </w:p>
    <w:p>
      <w:r>
        <w:rPr>
          <w:b/>
        </w:rPr>
        <w:t>E. 4</w:t>
      </w:r>
    </w:p>
    <w:p>
      <w:r>
        <w:t>Par acte du 17 février 2021, une personne indéterminée, déclarant agir au nom de G.________ Sàrl, elle-même prétendant représenter « Monsieur Y.________ », a recouru contre ce prononcé en concluant implicitement à l’admission de la requête de mainlevée. Interpellés en application de l’art. 132 CPC (Code de procédure civile du 19 décembre 2008 ; RS 272) le 4 mars 20121, le poursuivant, personnellement, et G.________, au nom de G.________ Sàrl, ont déclaré ratifier le recours. L’intimé n’a pas été invité à se déterminer. En d roit :</w:t>
      </w:r>
    </w:p>
    <w:p>
      <w:r>
        <w:t>- 5 - I. La demande de motivation et le recours ont été déposés dans les délais de dix jours des art. 239 al. 2 et 321 al. 2 CPC. Signé par une « gestionnaire de dossier » dénommée « G.________ », soit une personne ne disposant d’aucun pouvoir de représenter G.________ Sàrl selon les indications figurant sur l’extrait du registre du commerce relatif à cette société accessibles par Internet (qui constituent des faits notoires selon la jurisprudence du Tribunal fédéral [ATF 143 IV 380 consid. 1.1.1]), ces actes ont été ratifiés par le poursuivant dans le délai qui lui a été imparti à cet effet. Motivé conformément à l’art. 321 al. 1 CPC, le recours est recevable.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w:t>
      </w:r>
    </w:p>
    <w:p>
      <w:r>
        <w:t>- 6 -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cc)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dd) Selon l’art. 257e al. 1 CO (Code des obligations du 30 mars 1911 ; RS 220), si le locataire d’habitation ou de locaux commerciaux fournit des sûretés en espèces ou sous forme de papiers- valeurs, le bailleur doit les déposer auprès d’une banque, sur un compte d’épargne ou de dépôt au nom du locataire. Lorsque le bailleur ne dépose pas la garantie auprès d’une banque, le locataire peut l’y contraindre par le biais de mesures provisionnelles ou de la procédure pour cas clairs (art. 257 CPC ; Lachat/Stastny, in Lachat et alii, Le bail à loyer, édition 2019, chap. 17 n° 2.2.6 et références). A défaut, s’il a préalablement mais en vain, demandé au bailleur de déposer la garantie en banque, le locataire peut notamment en demander la restitution (Lachat/Stastny, loc. cit. et références)</w:t>
      </w:r>
    </w:p>
    <w:p>
      <w:r>
        <w:t>- 7 - ee) L’art. 257e al. 3 CO précise que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 sûretés. b) En l’espèce, le premier juge a considéré que la réalisation des conditions d’une restitution de la garantie de loyer n’avait pas été rendue vraisemblable et qu’en outre le débiteur désigné dans le titre n’était pas celui qui était poursuivi. L’argument du recourant ne porte que sur le motif de l’absence d’identité entre le débiteur désigné dans le titre et la personne contre laquelle la poursuite est intentée. Or, il y a lieu d’admettre que le contrat de sous-location du 1er janvier 2020 ne constitue pas un titre à la mainlevée provisoire pour le remboursement de la garantie de loyer. En effet, le chiffre 5 relatif à la garantie de loyer a la teneur suivante : « Le montant de la garantie de loyer est fixé à 7'500 payé à M. W.________ (réd. : mention manuscrite) La garantie doit être déposée auprès d’une banque sur un compte ouvert au nom du / des locataire(s). » ; Ce chiffre ne comprend aucun engagement inconditionnel tel que défini au considérant IIa)bb) de la part du poursuivi de payer au recourant la somme de 7'500 francs. Le contrat prévoit que la sous- bailleresse doit déposer la garantie de loyer auprès d’une banque. Le recourant n’allègue ni n’établit que celle-ci n’aurait pas respecté cette obligation et qu’il l’aurait vainement sommée de le faire. A fortiori le contrat ne prévoit-il pas l’obligation, à la charge du poursuivi, en relation avec le montant qui lui a été remis, ni ne précise du reste à quel titre cette remise a eu lieu en ses mains. Au vu des considérations développées au chiffre IIa)dd), les conditions d’exigibilité du remboursement du montant</w:t>
      </w:r>
    </w:p>
    <w:p>
      <w:r>
        <w:t>- 8 - dont le contrat du 1er janvier 2020 constate le versement par le recourant ne sont ainsi pas réunies. De même, le recourant n’a pas établi l’accord de la sous-bailleresse à la restitution ou que le sous-bail aurait pris fin depuis plus d’une année sans formulations de prétentions par la sous-bailleresse, condition posée par l’art. 257e al. 3 CO à la restitution de la garantie de loyer. Là encore, la mainlevée provisoire de l’opposition doit être rejetée, faute pour le recourant d’avoir établi que sa créance était exigible. Le recourant cite les art. 14 CO (signature), 18 CO (interprétation des contrats), 39 CO (défaut de ratification des actes du représentant par le représenté) et 62 CO (enrichissement illégitime), mais ne développe aucune argumentation en relation avec ces dispositions légales. Quant à l’argument de l’enrichissement illégitime et de la mauvaise foi de l’intimé, invoquée dans la demande de motivation du prononcé, ils ne fondent à eux seuls aucun titre à la mainlevée provisoire au sens des considérations développées au chiffre IIa)bb) ci-dessus, étant précisé que la procédure de mainlevée n’a pas pour objet de constater l’existence ou non d’une créance mais uniquement d’examiner l’existence d’un titre à la mainlevée provisoire au sens de l’art. 82 al. 1 LP. Quant à l’argument tiré du fait que le contrat de sous-location du 1er janvier 2020 aurait été signé par l’intimé et non par X.________, il est démenti par l’attestation du 3 avril 2019, qui mentionne la signature de cette dernière, signature figurant également sur le sous-bail. Si le recourant souhaitait rendre vraisemblable que ces signatures émanaient d’une autre personne, il lui incombait de le faire en première instance. De toute manière, l’eût-il fait que, comme déjà dit par le premier juge et rappelé ci-dessus, les pièces au dossier ne permettraient pas de conclure que les conditions légales de la restitution de la garantie locative étaient remplies. III. En conclusion, le recours, manifestement mal fondé, doit être rejeté et le prononcé confirmé.</w:t>
      </w:r>
    </w:p>
    <w:p>
      <w:r>
        <w:t>- 9 - Vu le rejet du recours, les frais judiciaires de deuxième instance, arrêtés à 270 fr. (art. 61 al. 1 OELP [ordonnance du 23 septembre 1996 sur les émoluments perçus en application de la LP ; RS 281.35]),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