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KC20.038144 vom 31. März 2021</w:t>
      </w:r>
    </w:p>
    <w:p>
      <w:r>
        <w:t>VD Tribunal cantonal, 2021-03-31, FR</w:t>
      </w:r>
    </w:p>
    <w:p>
      <w:r>
        <w:rPr>
          <w:b/>
        </w:rPr>
        <w:t xml:space="preserve">Quelle: </w:t>
      </w:r>
      <w:r>
        <w:t>https://mcp.opencaselaw.ch/entscheid/vd_gerichte_KC20.038144</w:t>
      </w:r>
    </w:p>
    <w:p>
      <w:r>
        <w:t>FR: VD_GERICHTE KC20.038144 du 31 mars 2021</w:t>
      </w:r>
    </w:p>
    <w:p>
      <w:r>
        <w:t>IT: VD_GERICHTE KC20.038144 del 31 marzo 2021</w:t>
      </w:r>
    </w:p>
    <w:p>
      <w:pPr>
        <w:pStyle w:val="Heading2"/>
      </w:pPr>
      <w:r>
        <w:t>Volltext</w:t>
      </w:r>
    </w:p>
    <w:p>
      <w:r>
        <w:t>TRIBUNAL CANTONAL KC20.038144-210155 51 CO UR DE S P OURSUITES ET FAILL ITES ________________________________________________ Arrêt du 31 mars 2021 __________________ Composition :M. HACK, président M. Maillard et Mme Cherpillod, juges Greffier : M. Elsig ***** Art. 82 al. 2 LP ; 18 al. 1, 143, 492 CO ; 321 al. 1 CPC La Cour des poursuites et faillites du Tribunal cantonal, statuant à huis clos en sa qualité d'autorité de recours en matière sommaire de poursuites, s'occupe du recours exercé par N.________, à [...], contre le prononcé rendu le 31 décembre 2020, à la suite de l’audience du 15 décembre 2020, par le Juge de paix du district d’Aigle, dans la cause opposant le recourant à M.________ SA, à [...]. Vu les pièces au dossier, la cour considère : 109</w:t>
      </w:r>
    </w:p>
    <w:p>
      <w:r>
        <w:t>- 2 - En fait : 1. Le 10 septembre 2020, à la réquisition de M.________ SA, l’Office des poursuites du district d’Aigle a notifié à N.________, dans la poursuite n° 9'709'545, un commandement de payer les sommes de 33'460 fr. avec intérêt à 7 % l’an dès le 1er mars 2020 et de 2'500 fr. sans intérêt, indiquant comme titre de la créance ou cause de l’obligation : « 1. Solidairement responsable avec T.________ SA EN LIQUIDATION, [...], [...]. Loyer impayés de mars à septembre 2020 pour surface commerciale aux combles, [...] à [...], à raison de Fr. 4'780.00 par mois. 2. Frais d’intervention selon l’art. 106 CO ». Le poursuivi a formé opposition totale. 2. a) Par acte du 30 septembre 2020, la poursuivante a requis du Juge de paix du district d’Aigle qu’il prononce, avec suite de frais et dépens, la mainlevée provisoire de l’opposition à concurrence de 33'460 fr. avec intérêt à 7 % l’an dès le 1er mars 2020. A l’appui de sa requête, elle a produit, outre le commandement de payer susmentionné, les pièces suivantes : - une procuration ; - une copie d’un contrat de bail à loyer pour locaux commerciaux signé le 27 mars 2017 par régie D.________ SA pour la poursuivante, sous la rubrique « Le bailleur/gérant » et par l’O.________ SA et le poursuivi personnellement, sous la rubrique « Le(s) locataire(s) », ainsi que l’indique l’usage de deux tampons humides différents sous la même signature manuscrite. Par ce contrat, la poursuivante a remis à bail aux locataires une surface commerciale dans les combles de l’immeuble sis [...] à [...] pour un loyer mensuel de 4'300 fr., plus 480 fr. d’acompte de chauffage, d’eau chaude et de frais accessoires, étant précisé qu’un intérêt de 7 %</w:t>
      </w:r>
    </w:p>
    <w:p>
      <w:r>
        <w:t>- 3 - l’an était dû sur toute prestation échue découlant du bail. Conclu pour durer initialement du 1er avril 2017 au 31 mars 2022, le bail devait se renouveler tacitement de cinq ans en cinq ans, sauf avis de résiliation donné et reçu au moins une année avant l’échéance ; - une copie des « Dispositions générales pour habitation, garage et place de parc, faisant partie intégrante du contrat de bail » édition août 2008, dont l’art. 1 prévoit qu’un intérêt de 7 % l’an est dû sur toute prestation échue découlant du bail ; - un extrait du registre foncier relatif à la parcelle n° [...] de la Commune de [...], sise [...], dont il ressort que la poursuivante en est la propriétaire. b) Par courriers recommandés du 2 octobre 2020, la juge de paix a notifié la requête au poursuivi et a cité les parties à comparaître à l’audience du 17 novembre 2020, ultérieurement reportée au 15 décembre 2020. A l’audience du 15 décembre 2020, à laquelle le conseil de la poursuivante et le poursuivi, assisté de son conseil, ont comparu, le poursuivi a déposé des déterminations datées du 14 décembre 2020 concluant, avec suite de frais et dépens, au rejet, dans la mesure où elles étaient recevables, des conclusions de la requête et au maintien de l’opposition. Il a produit notamment une copie du courrier adressé le 28 février 2020 à régie D.________ SA, par T.________ SA en liquidation et le poursuivi résiliant le bail en cause pour justes motifs au sens de l’art. 266g al. 1 CO avec effet au 10 septembre 2020, invoquant la cessation de leur activité commerciale et la dissolution de la société locataire. La poursuivante a produit une copie d’un courrier de régie D.________ SA du 9 mars 2020, répondant à ce courrier de résiliation pour justes motifs susmentionné, informant le poursuivi qu’elle ne pouvait pas retenir un juste motif et qu’elle considérait son courrier comme une résiliation anticipée jusqu’à la relocation de l’objet du bail. Elle l’avisait être disposée à le libérer de ses obligations à condition que le bail soit repris par un candidat solvable et de bonne moralité, agréé par le propriétaire, et qu’il</w:t>
      </w:r>
    </w:p>
    <w:p>
      <w:r>
        <w:t>- 4 - règle le loyer et les charges jusqu’au jour de l’entrée en vigueur de l’avenant au bail du nouveau locataire. Les parties ont confirmé leurs conclusions. 3. Par prononcé non motivé du 31 décembre 2020, notifié au poursuivi le 5 janvier 2021, la Juge de paix du district d’Aigle a prononcé la mainlevée provisoire de l’opposition à concurrence de 28'680 fr. avec intérêt à 7 % l’an dès le 15 mai 2020 et de 1'593 fr. 35 plus intérêt à 7 % l’an dès le 1er septembre 2020 (I), a fixé les frais judiciaires à 360 fr. (II), les a mis à la charge du poursuivi (II), et a dit qu’en conséquence celui-ci rembourserait à la poursuivante son avance de frais, par 360 fr., et lui verserait des dépens fixés à 1'200 fr. (IV). Le 14 janvier 2021, le poursuivi a demandé la motivation de ce prononcé. Les motifs du prononcé ont été adressés aux parties le 15 janvier 2021 et notifiés au poursuivi le 18 janvier 2021. En substance, l’autorité précédente a considéré que le poursuivi était débiteur solidaire du loyer – et non caution pour le paiement de celui-ci –, car il s’était engagé dans le contrat de bail en qualité de locataire solidairement responsable, alors qu’il est un spécialiste de ce domaine juridique ; en outre, son entreprise, gérée en raison individuelle depuis sa fondation en 1982, avait occupé des locaux dans le même immeuble. Il avait continué à exercer sa profession jusqu’à la cessation de son activité au mois d’août 2019, même s’il avait entretemps transformé sa raison individuelle en société anonyme. Le poursuivi avait donc un intérêt propre et reconnaissable à la conclusion du bail, ce qui excluait la qualification de cautionnement de son engagement. L’autorité précédente a constaté que le bail avait été résilié pour juste motifs avec effet au 10 septembre 2020, ce qui excluait l’octroi de la mainlevée pour les loyers postérieurs à cette date, le juge de la mainlevée n’étant pas habilité à juger si cette résiliation était valable ou inefficace.</w:t>
      </w:r>
    </w:p>
    <w:p>
      <w:r>
        <w:t>- 5 - 4. Par acte du 28 janvier 2021, le poursuivi a recouru contre ce prononcé en concluant, avec suite de frais et dépens, au rejet de la requête de mainlevée et au maintien de son opposition. Il a requis que l’effet suspensif soit accordé au recours. Par prononcé du 29 janvier 2021, le président de la cour de céans a rejeté la requête d’effet suspensif. Par acte du 8 mars 2021, le recourant a réitéré sa requête d’effet suspensif, requête rejetée par prononcé du président de la cour de céans du 9 mars 2021. L’intimée n’a pas été invitée à se déterminer. En d roit : 1. 1.1 a) La demande de motivation et le recours ont été déposés dans les délais de dix jours des art. 239 al. 2 et 321 al. 2 CPC (Code de procédure civile du 19 décembre 2008 ; RS 272). 1.2 1.2.1 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w:t>
      </w:r>
    </w:p>
    <w:p>
      <w:r>
        <w:t>- 6 - et des pièces du dossier sur lesquelles repose sa critique (ATF 142 III 412 consid. 2.2.4 ; ATF 138 III 374 consid. 4.3.1 ; TF 5A_503/2018 du 25 septembre 2018 consid. 6.3 et les réf. cit. concernant les art. 310 et 311 CPC relatifs à l’appel, mais applicables par analogie au recours ; TF 4A_580/2015 du 11 avril 2016 consid. 2.2 et les réf. cit. ; TF 5D_190/2014 du 2 septembre 2014 consid. 4.2.1 ; cf. Jeandin, in Bohnet et alii (éd.), Commentaire romand, CPC, 2e éd., 2019, n. 2 et 4 ad art. 321 CPC). Un renvoi global aux arguments présentés en première instance ou aux pièces du dossier ne suffit pas à satisfaire au devoir de motivation ni ne constitue un allégué suffisant (TF 5A_113/2018 du 12 septembre 2018 consid. 4.2.1.2 ; TF 5A_573/2017 du 19 octobre 2017 consid. 3.3; TF 5A_209/2014 du 2 septembre 2014 consid. 4.2.1; TF 4A_452/2013 du 31 mars 2014 consid. 2.3; TF 4A_309/2013 du 16 décembre 2013 consid. 3.2, publié in SJ 2014 I p. 196). De même, la reprise de la motivation développée devant le premier juge ne suffit pas (TF 4A_101/2014 consid. 3.3 ; Jeandin, op. cit., n. 3b ad art. 311 CPC). 1.2.2 En l’espèce, le recourant reproduit de la page 2 à la page 11 de son recours textuellement le contenu de sa réponse déposée en première instance. Une telle manière de faire ne remplit pas les exigences de motivation rappelées ci-dessus, le recourant ne se donnant même pas la peine de distinguer entre les moyens qui ont été admis en première instance et ceux qui ont été rejetés. Son recours est à cet égard irrecevable. 2. Le recourant conteste sa qualité de locataire. L’autorité précédente aurait fait preuve d’arbitraire et la retenant en lieu et place d’une qualité de garant, nulle pour vice de forme. 2.1 En vertu de l'art. 82 LP (loi fédérale du 11 avril 1889 sur la poursuite pour dettes et la faillite ; RS 281.1), en présence d’une reconnaissance de dette constatée par acte authentique ou sous seing privé, le juge prononce la mainlevée provisoire si le débiteur ne rend pas immédiatement vraisemblable sa libération (al. 2).</w:t>
      </w:r>
    </w:p>
    <w:p>
      <w:r>
        <w:t>- 7 - Le poursuivi peut se prévaloir de tous les moyens de droit civil – exceptions ou objections – qui infirment la reconnaissance de dette (ATF 142 III 720 consid. 4.1 ; ATF 136 III 624 consid. 4.2.1; TF 5A_434/2015 du 21 août 2015 consid. 6.1.2, publié in SJ 2016 I 49 ; TF 5A_389/2016 du 21 septembre 2016 consid. 3.1.1), en principe par pièces (art. 254 al. 1 CPC ; TF 5A_361/2016 du 16 janvier 2017 consid. 3.2). Il peut invoquer un vice de forme concernant la créance (TF 5A_944/2016 du 31 août 2017 consid. 2.2), notamment les règles de formes imposées par l'art. 493 CO pour la validité d'un acte de cautionnement (TF 5A_849/2012 du 25 juin 2013 consid. 2.1). Lorsque le débiteur invoque la nullité du titre (par exemple en raison d’un vice de forme), le juge de la mainlevée peut se limiter à un examen sommaire (TF 5A_205/2015 du 22 octobre 2015 consid. 6.2). Il suffit que le poursuivi rende immédiatement vraisemblables ses moyens libératoires (ATF 132 III 140 consid. 4.1.1).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2.2 Il y a solidarité entre plusieurs débiteurs lorsqu’ils déclarent s’obliger de manière qu’à l’égard du créancier, chacun d’eux soit tenu pour le tout (art. 143 al. 1 CO [Code des obligations du 30 mars 1911 ; RS 220]).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2e éd., 2012, n. 5 ad art. 143 CO). Conformément à l’art. 1 al. 2 CO, l’engagement solidaire peut se former par actes concluants ou tacitement. L’engagement solidaire est qualifié de reprise cumulative de dette si l’engagement est pris alors que le débiteur s’est déjà engagé. La</w:t>
      </w:r>
    </w:p>
    <w:p>
      <w:r>
        <w:t>- 8 -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 cit.). Dès lors que celui qui se porte fort assume une obligation indépendante, celle-ci peut exister même si le tiers n'est pas débiteur du bénéficiaire ou si son obligation est nulle ou invalidée (TF 4A_290/2007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w:t>
      </w:r>
    </w:p>
    <w:p>
      <w:r>
        <w:t>- 9 -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w:t>
      </w:r>
    </w:p>
    <w:p>
      <w:r>
        <w:t>- 10 - d'employer les termes de « porte-fort », ou de « codébiteur solidaire », dont l'intéressé ne connaît pas la portée (TF 5A_849/2012 du 25 juin 2013 consid. 2.2.1 et les réf.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w:t>
      </w:r>
    </w:p>
    <w:p>
      <w:r>
        <w:t>- 11 -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4A.24/2007 du 26 avril 2007 consid. 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w:t>
      </w:r>
    </w:p>
    <w:p>
      <w:r>
        <w:t>- 12 - les conditions formelles telles qu’elles sont précisées dans le texte de la garantie sont réunies (ATF 122 III 321 consid. 4a ; TF 4A_709/2016 du 6 avril 2017 consid. 2.2 et les réf. cit.).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 2.3 En l’espèce, comme l’a relevé à juste l’autorité précédente, le recourant, qui a pratiqué dans sa profession le droit du bail pendant des dizaines d’années, ce qui ressort de la jurisprudence cantonale, est mentionné dans le contrat de bail comme « locataire », « conjointement et solidairement responsable ». Au vu de la jurisprudence susmentionnée, il doit, en sa qualité de partie rompue à l’usage des termes et possédant une formation juridique, se voir opposer la lettre du contrat de bail et être considéré comme solidairement responsable du paiement du loyer. En outre, dans les courriers de résiliation, il a lui-même déclaré agir également en son nom propre, invoquant, dans la deuxième résiliation, sa situation professionnelle pour tenter de justifier une résiliation extraordinaire fondée sur l’art. 266g CO, reconnaissant par là encore sa qualité de locataire. L’interprétation des manifestations de volonté, subjectivement, ne laisse ainsi aucun doute que c’est bien en qualité de locataire que les parties entendaient que le recourant signe le bail. L’usage spécifié dans le bail ou l’enseigne utilisée n’y changent rien. Le recourant échoue donc à rendre vraisemblable l’existence d’un cautionnement et, partant, la nullité pour vice de forme de son engagement. Le moyen est infondé.</w:t>
      </w:r>
    </w:p>
    <w:p>
      <w:r>
        <w:t>- 13 - 3. En conclusion, le recours, manifestement mal fondé, doit être rejeté dans la mesure où il est recevable et le prononcé confirmé. Vu le rejet du recours, les frais judiciaires de deuxième instance, arrêtés à 540 fr. (art. 61 OELP [Ordonnance du 23 septembre 1996 sur les émoluments perçus en application de LP ; RS 281.35]), doivent être mis à la charge du recourant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540 fr. (cinq cent quarante francs), sont mis à la charge du recourant N.________. IV. L'arrêt est exécutoire. Le président : Le greffier :</w:t>
      </w:r>
    </w:p>
    <w:p>
      <w:r>
        <w:t>- 14 - Du L'arrêt qui précède, dont la rédaction a été approuvée à huis clos, est notifié, par l'envoi de photocopies, à : - Mme Martine Schlaeppi, agent d’affaires breveté (pour N.________), - M. Thierry Zumbach, agent d’affaires breveté (pour M.________ SA). La Cour des poursuites et faillites considère que la valeur litigieuse est de 30'273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