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KC20.034730 vom 29. April 2021</w:t>
      </w:r>
    </w:p>
    <w:p>
      <w:r>
        <w:t>VD Tribunal cantonal, 2021-04-29, FR</w:t>
      </w:r>
    </w:p>
    <w:p>
      <w:r>
        <w:rPr>
          <w:b/>
        </w:rPr>
        <w:t xml:space="preserve">Quelle: </w:t>
      </w:r>
      <w:r>
        <w:t>https://mcp.opencaselaw.ch/entscheid/vd_gerichte_KC20.034730</w:t>
      </w:r>
    </w:p>
    <w:p>
      <w:r>
        <w:t>FR: VD_GERICHTE KC20.034730 du 29 avril 2021</w:t>
      </w:r>
    </w:p>
    <w:p>
      <w:r>
        <w:t>IT: VD_GERICHTE KC20.034730 del 29 aprile 2021</w:t>
      </w:r>
    </w:p>
    <w:p>
      <w:pPr>
        <w:pStyle w:val="Heading2"/>
      </w:pPr>
      <w:r>
        <w:t>Volltext</w:t>
      </w:r>
    </w:p>
    <w:p>
      <w:r>
        <w:t>TRIBUNAL CANTONAL KC20.034730-210505 68 CO UR DE S P OURSUITES ET FAILL ITES ________________________________________________ Arrêt du 29 avril 2021 __________________ Composition :M. HACK, président Mmes Giroud Walther et Cherpillod, juges Greffier : Mme Joye ***** Art. 144 al. 1 et 321 al. 1 CPC Vu le prononcé rendu le 21 octobre 2020, à la suite de l’interpellation de la poursuivie, adressé aux parties le 8 janvier 2021, par lequel la Juge de paix du district de Lausanne a prononcé, à concurrence de 2'166 fr. 80 plus intérêt à 5% l’an dès le 13 juin 2020, la mainlevée définitive de l’opposition formée par C.________, à Lausanne, au commandement de payer dans la poursuite n° 9'611’357 de l’Office des poursuites du district de Lausanne, exercée à l’instance de la K.________, à Lausanne, a arrêté à 150 fr. les frais judiciaires, compensés avec l’avance de frais de la poursuivante, les a mis à la charge de la poursuivie et a dit que celle-ci devait rembourser à la poursuivante son avance de frais à concurrence de 150 fr. et lui verser la somme de 300 fr. à titre de dépens, en défraiement de son représentant professionnel, 111</w:t>
      </w:r>
    </w:p>
    <w:p>
      <w:r>
        <w:t>- 2 - vu la notification de ce prononcé à la poursuivie le 19 janvier 2021, vu la motivation du prononcé, requise par la poursuivie le 27 janvier 2021, adressée aux parties le 5 mars 2021 et notifié à C.________ le 12 mars 2021, vu l’écriture datée du 20 et postée le 22 mars 2021 par laquelle la poursuivie déclare recourir contre le prononcé de mainlevée et demande l’octroi d’un délai au 15 avril 2021 pour « former recours », vu le dépôt par la poursuivie au greffe de céans, le 26 avril 2021, d’un courrier daté du 12 avril 2021 dans laquelle elle demande une copie du dossier de la présente cause et prie l’autorité de céans de communiquer avec son avocate Me Kathrin Gruber, vu les pièces au dossier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 le délai de recours de dix jours fixé par l’art. 321 al. 2 CPC est donc un délai légal, et non pas un délai fixé judiciairement, par le juge ou le tribunal, que, conformément à l’art. 144 al. 1 CPC, un délai légal ne peut pas être prolongé,</w:t>
      </w:r>
    </w:p>
    <w:p>
      <w:r>
        <w:t>- 3 - que la partie qui entend user d'une voie de droit a la charge de se conformer à certaines règles de forme, à défaut de quoi sa démarche sera frappée d'irrecevabilité (Jeandin, in Bohnet/Haldy/Jeandin/Schweizer/ Tappy (éd.), Code de procédure civile commenté, Bâle 2011,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5A_106/2016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 recours doit être entièrement contenue dans le mémoire de recours lui-même et ne saurait être complétée ou corrigée ultérieure-ment (ibid.), du moins pas après l’échéance du délai de recours, que ni l’art. 132 al. 1 et 2, ni l’art. 56 CPC ne sont applicables en cas d’absence de motivation d’un acte de recours (ibid.),</w:t>
      </w:r>
    </w:p>
    <w:p>
      <w:r>
        <w:t>- 4 - qu’en l’espèce, l’écriture d’C.________ déposée le 22 mars 2021, en temps utile, ne contient qu’une demande de prolongation du délai de recours, qui ne peut pas être accordée, que, pour le surplus, cet acte ne contient aucun moyen de recours, c’est-à-dire aucun grief contre la décision du premier juge, en particulier contre les considérants de ce magistrat selon lesquels la décision du Tribunal des baux du 3 décembre 2019 invoquée à l’appui de la requête de mainlevée, attestée définitive et exécutoire, constituait un titre de mainlevée définitive pour le montant réclamé en poursuite et que les arguments de la poursuivie, qui concernaient le bien-fondé de ladite décision, ne pouvaient pas être prises en compte dans le cadre de la présente procédure, que, faute d’être motivé, le recours doit être déclaré irrecevable,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w:t>
      </w:r>
    </w:p>
    <w:p>
      <w:r>
        <w:t>- 5 - Du L'arrêt qui précède, dont la rédaction a été approuvée à huis clos, est notifié, par l'envoi de photocopies, à : - M. C.________, - M. Jacques Lauber, agent d’affaires breveté (pour K.________). La Cour des poursuites et faillites considère que la valeur litigieuse est de 2'166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 Me Kathrin Gruber, avocate.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