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KC20.033465 vom 31. Dezember 2020</w:t>
      </w:r>
    </w:p>
    <w:p>
      <w:r>
        <w:t>VD Tribunal cantonal, 2020-12-31, FR</w:t>
      </w:r>
    </w:p>
    <w:p>
      <w:r>
        <w:rPr>
          <w:b/>
        </w:rPr>
        <w:t xml:space="preserve">Quelle: </w:t>
      </w:r>
      <w:r>
        <w:t>https://mcp.opencaselaw.ch/entscheid/vd_gerichte_KC20.033465</w:t>
      </w:r>
    </w:p>
    <w:p>
      <w:r>
        <w:t>FR: VD_GERICHTE KC20.033465 du 31 décembre 2020</w:t>
      </w:r>
    </w:p>
    <w:p>
      <w:r>
        <w:t>IT: VD_GERICHTE KC20.033465 del 31 dicembre 2020</w:t>
      </w:r>
    </w:p>
    <w:p>
      <w:pPr>
        <w:pStyle w:val="Heading2"/>
      </w:pPr>
      <w:r>
        <w:t>Volltext</w:t>
      </w:r>
    </w:p>
    <w:p>
      <w:r>
        <w:t>TRIBUNAL CANTONAL KC20.033465-201742 374 CO UR DE S P OURSUITES ET FAILL ITES ________________________________________________ Arrêt du 31 décembre 2020 __________________ Composition :M. MAILLARD, président M. Hack et Mme Cherpillod, juges Greffier : Mme Umulisa Musaby ***** Art. 321 al. 1 CPC Vu le prononcé, rendu sous forme de dispositif le 5 octobre 2020, adressé au Service des Curatelles et Tutelles Professionnelles (ci- après : SCTP) le lendemain et notifié au poursuivi le 14 octobre suivant, par lequel le Juge de paix du district de la Riviera –Pays d’Enhaut a prononcé, à concurrence de 50 fr., plus intérêt à 3.5 % l’an dès le 18 juillet 2018, la mainlevée définitive de l’opposition formée par K.________, à Veytaux, au commandement de payer qui lui avait été notifié à la réquisition de l’ETAT DE VAUD, représenté par l’Office d’impôt des districts de Lausanne et Ouest lausannois, dans la poursuite n° 9’495’993 de l’Office des poursuites du district de la Riviera – Pays d’Enhaut (I), a arrêté à 90 fr. les frais judiciaires, compensés avec l’avance de frais de la 111</w:t>
      </w:r>
    </w:p>
    <w:p>
      <w:r>
        <w:t>- 2 - partie poursuivante (II), a mis ces frais à la charge de la partie poursuivie (III) et a dit qu’en conséquence celle-ci rembourserait à la partie poursuivante son avance de frais à concurrence de 90 fr., sans allocation de dépens pour le surplus (IV), vu l’acte du 12 octobre 2020, interprété par le juge de paix comme une demande de motivation, et la demande de motivation déposée le 24 octobre 2020 par le poursuivi, vu les motifs du prononcé, adressés aux parties le 6 novembre 2020 et notifiés au SCTP le 9 novembre 2020 et au poursuivi le 16 novembre suivant, vu l’acte de recours du 4 décembre 2020, par lequel K.________ a conclu au rejet de la requête de mainlevée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au vu de l’acte déposé le 4 décembre 2020, soit après l’échéance du délai de dix jours suivant la notification de la décision motivée, le recours paraît tardif, que la question de la tardiveté peut néanmoins rester indécise, puisque le recours doit également être déclaré irrecevable pour les motifs exposés ci-après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w:t>
      </w:r>
    </w:p>
    <w:p>
      <w:r>
        <w:t>- 3 -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qu’à défaut de motivation - dans le délai légal -, l’instance de recours n’entre pas en matière ; que lorsque la poursuite est fondée sur un jugement exécutoire rendu par un tribunal ou une autorité administrative suisse, le juge ordonne la mainlevée définitive de l’opposition, à moins que l’opposant ne prouve par titre que la dette a été éteinte ou qu’il a obtenu</w:t>
      </w:r>
    </w:p>
    <w:p>
      <w:r>
        <w:t>- 4 - un sursis, postérieurement au jugement, ou qu’il ne se prévale de la prescription (art. 81 al. 1 LP), que le contentieux de la mainlevée d'opposition, soumis à la procédure sommaire (art. 251 let. a CPC), est une procédure sur pièces (Urkundenprozess; art. 254 al. 1 CPC), dont le but n'est pas de constater la réalité de la créance en poursuite, mais l'existence d'un titre exécutoire, notamment l’existence d’une décision fiscale exécutoire ou d’un jugement pénal prononçant une amende (cf. art. 80 al. 2 ch. 2 LP ; Abbet, in Abbet/Veuillet, La mainlevée de l’opposition, n. 8 ad art. 80 LP), que le juge de la mainlevée doit vérifier si la créance en poursuite résulte de cet acte, mais n'a pas à se prononcer sur l’existence matérielle de la créance, ni sur le bien-fondé de la décision qui l'a sanctionnée (ATF 143 III 564 consid. 4.3.1 ; ATF 132 III 140, rés. in JdT 2006 Il 187 ; TF 5A_427/2011 du 10 octobre 2011 consid. 2) ; attendu en l’espèce que le juge de paix a considéré que le poursuivant avait produit une décision, définitive et exécutoire, fixant l’émolument de sommation de déposer la déclaration d’impôt de l’année 2016, que cette décision constituait un titre de mainlevée définitive pour le montant réclamé en poursuite et que le poursuivi n’avait fait valoir aucun moyen libératoire, qu’à l’encontre de ce raisonnement, le recourant soulève essentiellement les moyens ayant trait au bien-fondé des décisions de taxation : il conteste sa capacité contributive, faisant valoir qu’il vit dans le dénuement, qu’il n’a aucun revenu imposable, que les créances d’impôt n’ont aucun fondement et que la poursuivante devrait plutôt lui rembourser les montants perçus en trop à la suite des décisions de taxation erronées et abusives, que ces arguments n’ont pas de pertinence devant le juge de la mainlevée et sont dès lors irrecevables,</w:t>
      </w:r>
    </w:p>
    <w:p>
      <w:r>
        <w:t>- 5 - que pour le surplus, le recourant allègue avoir contesté la décision en cause auprès des autorités compétentes, par « des contacts réitérés », par « des entretiens » ou encore « par des écrits », que le fait que le recourant ait contesté la décision litigieuse ne résulte pas du dossier et est au demeurant non établi, que supposé recevable, le moyen tendant à remettre en cause le caractère exécutoire du prononcé de l’émolument serait manifestement mal fondé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- 6 - Du L'arrêt qui précède, dont la rédaction a été approuvée à huis clos, est notifié, par l'envoi de photocopies, à : - M. K.________ - ETAT DE VAUD, représenté par l’Office d’impôt des districts de Lausanne et Ouest lausannois.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