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KC20.025225 vom 2. Dezember 2020</w:t>
      </w:r>
    </w:p>
    <w:p>
      <w:r>
        <w:t>VD Tribunal cantonal, 2020-12-02, FR</w:t>
      </w:r>
    </w:p>
    <w:p>
      <w:r>
        <w:rPr>
          <w:b/>
        </w:rPr>
        <w:t xml:space="preserve">Quelle: </w:t>
      </w:r>
      <w:r>
        <w:t>https://mcp.opencaselaw.ch/entscheid/vd_gerichte_KC20.025225</w:t>
      </w:r>
    </w:p>
    <w:p>
      <w:r>
        <w:t>FR: VD_GERICHTE KC20.025225 du 2 décembre 2020</w:t>
      </w:r>
    </w:p>
    <w:p>
      <w:r>
        <w:t>IT: VD_GERICHTE KC20.025225 del 2 dicembre 2020</w:t>
      </w:r>
    </w:p>
    <w:p>
      <w:pPr>
        <w:pStyle w:val="Heading2"/>
      </w:pPr>
      <w:r>
        <w:t>Volltext</w:t>
      </w:r>
    </w:p>
    <w:p>
      <w:r>
        <w:t>TRIBUNAL CANTONAL KC20.025225-201637 339 CO UR DE S P OURSUITES ET FAILL ITES ________________________________________________ Arrêt du 2 décembre 2020 __________________ Composition :M. MAILLARD, président Mmes Byrde et Rouleau, juges Greffier : Mme Joye ***** Art. 321 al. 1 et 2 CPC Vu le prononcé rendu le 25 août 2020, à la suite de l’interpellation du poursuivi, par la Juge de paix du district de Morges, prononçant la mainlevée définitive de l’opposition formée par B.________, à Echandens, à la poursuite n° 9'619’110 de l’Office des poursuites du même district exercée contre lui à l’instance de l’ETAT DE VAUD, représenté par le Bureau de recouvrement et d’avances de pensions alimentaires (BRAPA), à Lausanne, arrêtant à 360 fr. les frais judiciaires, compensés avec l’avance de frais du poursuivant, les mettant à la charge du poursuivi et disant que celui-ci remboursera au poursuivant son avance de frais à concurrence de 360 fr., sans allocation de dépens pour le surplus, 111</w:t>
      </w:r>
    </w:p>
    <w:p>
      <w:r>
        <w:t>- 2 - vu la demande de motivation formulée par le poursuivi par lettre datée du 1er et postée le 3 septembre 2020, vu les motifs du prononcé adressés aux parties le 4 et notifiés au poursuivi le 7 novembre 2020, selon le suivi d’acheminement postal figurant au dossier, vu l’acte de recours, daté du 16 et posté le 18 novembre 2020, déposé par B.________, qui fait valoir que les pensions alimentaire qui lui sont réclamées sont disproportionnées par rapport à ses revenus et qu’il n’est dès lors pas en capacité de les assumer ; attendu qu'en procédure de mainlevée, le recours, au sens des art. 319 ss CPC (Code de procédure civile;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qu'en l'espèce, le délai de dix jours dont B.________ disposait pour recourir contre le prononcé de mainlevée qui lui avait été notifié le 7 novembre 2020 est arrivé à échéance le 17 novembre 2020, que l’acte de recours, mis à la poste le 18 novembre 2020, le sceau postal faisant foi, a donc été déposé tardivement, que le recours doit être déclaré irrecevable pour ce premier motif déjà ; attendu qu’en outre, la partie qui entend user d'une voie de droit a la charge de se conformer à certaines règles de forme, à défaut de</w:t>
      </w:r>
    </w:p>
    <w:p>
      <w:r>
        <w:t>- 3 - quoi sa démarche sera frappée d'irrecevabilité (Jeandin, in Bohnet/Haldy/Jeandin/Schweizer/Tappy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CPC, ni l’art. 56 CPC ne sont applicables en cas d’absence de motivation d’un acte de recours (ibid.), qu’en l’espèce, dans son acte de recours, le poursuivi fait valoir qu’il ne dispose pas des moyens financiers nécessaires pour s’acquitter des pensions alimentaires qui lui sont réclamées, qu’il ne formule toutefois aucun grief ni moyen de recours reconnais-sable et compréhensible contre le prononcé de la juge de paix, qu’en particulier, il ne conteste pas les considérants topiques de ce prononcé selon lesquels le poursuivant est au bénéfice d'un arrêt exécutoire au sens de l’art. 80 LP (loi fédérale sur la poursuite pour dettes et la faillite ; RS 281.1) valant titre de mainlevée définitive d’opposition,</w:t>
      </w:r>
    </w:p>
    <w:p>
      <w:r>
        <w:t>- 4 - que le recours, faute d’être motivé conformément aux exigences posées par la loi et la jurisprudence, doit être déclaré irrecevable également pour ce second motif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B.________, - BRAPA (pour l’Etat de Vaud). La Cour des poursuites et faillites considère que la valeur litigieuse est de 12’181 francs.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